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563AB" w:rsidP="00107FC2">
            <w:pPr>
              <w:rPr>
                <w:sz w:val="28"/>
              </w:rPr>
            </w:pPr>
            <w:r>
              <w:rPr>
                <w:sz w:val="28"/>
              </w:rPr>
              <w:t>№ 287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563AB" w:rsidP="00107FC2">
            <w:pPr>
              <w:rPr>
                <w:sz w:val="28"/>
              </w:rPr>
            </w:pPr>
            <w:r>
              <w:rPr>
                <w:sz w:val="28"/>
              </w:rPr>
              <w:t xml:space="preserve">от «01»    08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AA032C" w:rsidRDefault="00050755" w:rsidP="00AA032C">
      <w:pPr>
        <w:widowControl w:val="0"/>
        <w:autoSpaceDE w:val="0"/>
        <w:autoSpaceDN w:val="0"/>
        <w:adjustRightInd w:val="0"/>
        <w:rPr>
          <w:sz w:val="24"/>
          <w:szCs w:val="24"/>
        </w:rPr>
      </w:pPr>
      <w:r w:rsidRPr="00050755">
        <w:rPr>
          <w:sz w:val="24"/>
          <w:szCs w:val="24"/>
        </w:rPr>
        <w:t xml:space="preserve">  </w:t>
      </w:r>
    </w:p>
    <w:p w:rsidR="00AA032C" w:rsidRPr="00AA032C" w:rsidRDefault="00AA032C" w:rsidP="00AA032C">
      <w:pPr>
        <w:widowControl w:val="0"/>
        <w:autoSpaceDE w:val="0"/>
        <w:autoSpaceDN w:val="0"/>
        <w:adjustRightInd w:val="0"/>
        <w:rPr>
          <w:sz w:val="24"/>
          <w:szCs w:val="24"/>
        </w:rPr>
      </w:pPr>
    </w:p>
    <w:p w:rsidR="00AA032C" w:rsidRDefault="00AA032C" w:rsidP="00AA032C">
      <w:pPr>
        <w:pStyle w:val="HEADERTEXT0"/>
        <w:rPr>
          <w:rFonts w:ascii="Times New Roman" w:hAnsi="Times New Roman" w:cs="Times New Roman"/>
          <w:bCs/>
          <w:color w:val="000000" w:themeColor="text1"/>
          <w:sz w:val="28"/>
          <w:szCs w:val="28"/>
        </w:rPr>
      </w:pPr>
      <w:r w:rsidRPr="00AA032C">
        <w:rPr>
          <w:rFonts w:ascii="Times New Roman" w:hAnsi="Times New Roman" w:cs="Times New Roman"/>
          <w:bCs/>
          <w:color w:val="000000" w:themeColor="text1"/>
          <w:sz w:val="28"/>
          <w:szCs w:val="28"/>
        </w:rPr>
        <w:t xml:space="preserve">Татарстан Республикасы Мамадыш муниципаль </w:t>
      </w:r>
    </w:p>
    <w:p w:rsidR="00AA032C" w:rsidRDefault="00AA032C" w:rsidP="00AA032C">
      <w:pPr>
        <w:pStyle w:val="HEADERTEXT0"/>
        <w:rPr>
          <w:rFonts w:ascii="Times New Roman" w:hAnsi="Times New Roman" w:cs="Times New Roman"/>
          <w:bCs/>
          <w:color w:val="000000" w:themeColor="text1"/>
          <w:sz w:val="28"/>
          <w:szCs w:val="28"/>
        </w:rPr>
      </w:pPr>
      <w:r w:rsidRPr="00AA032C">
        <w:rPr>
          <w:rFonts w:ascii="Times New Roman" w:hAnsi="Times New Roman" w:cs="Times New Roman"/>
          <w:bCs/>
          <w:color w:val="000000" w:themeColor="text1"/>
          <w:sz w:val="28"/>
          <w:szCs w:val="28"/>
        </w:rPr>
        <w:t xml:space="preserve">районы Башкарма комитетының 2024 елның </w:t>
      </w:r>
    </w:p>
    <w:p w:rsidR="00AA032C" w:rsidRDefault="00AA032C" w:rsidP="00AA032C">
      <w:pPr>
        <w:pStyle w:val="HEADERTEXT0"/>
        <w:rPr>
          <w:rFonts w:ascii="Times New Roman" w:hAnsi="Times New Roman" w:cs="Times New Roman"/>
          <w:bCs/>
          <w:color w:val="000000" w:themeColor="text1"/>
          <w:sz w:val="28"/>
          <w:szCs w:val="28"/>
        </w:rPr>
      </w:pPr>
      <w:r w:rsidRPr="00AA032C">
        <w:rPr>
          <w:rFonts w:ascii="Times New Roman" w:hAnsi="Times New Roman" w:cs="Times New Roman"/>
          <w:bCs/>
          <w:color w:val="000000" w:themeColor="text1"/>
          <w:sz w:val="28"/>
          <w:szCs w:val="28"/>
        </w:rPr>
        <w:t>25 декабрендәге 469 номерлы карарына</w:t>
      </w:r>
    </w:p>
    <w:p w:rsidR="00AA032C" w:rsidRPr="00AA032C" w:rsidRDefault="00AA032C" w:rsidP="00AA032C">
      <w:pPr>
        <w:pStyle w:val="HEADERTEXT0"/>
        <w:rPr>
          <w:rFonts w:ascii="Times New Roman" w:hAnsi="Times New Roman" w:cs="Times New Roman"/>
          <w:bCs/>
          <w:color w:val="000000" w:themeColor="text1"/>
          <w:sz w:val="28"/>
          <w:szCs w:val="28"/>
        </w:rPr>
      </w:pPr>
      <w:r w:rsidRPr="00AA032C">
        <w:rPr>
          <w:rFonts w:ascii="Times New Roman" w:hAnsi="Times New Roman" w:cs="Times New Roman"/>
          <w:bCs/>
          <w:color w:val="000000" w:themeColor="text1"/>
          <w:sz w:val="28"/>
          <w:szCs w:val="28"/>
        </w:rPr>
        <w:t>үзгәрешләр кертү турында</w:t>
      </w:r>
    </w:p>
    <w:p w:rsidR="00AA032C" w:rsidRPr="00AA032C" w:rsidRDefault="00AA032C" w:rsidP="00AA032C">
      <w:pPr>
        <w:widowControl w:val="0"/>
        <w:autoSpaceDE w:val="0"/>
        <w:autoSpaceDN w:val="0"/>
        <w:adjustRightInd w:val="0"/>
        <w:jc w:val="center"/>
        <w:outlineLvl w:val="2"/>
        <w:rPr>
          <w:b/>
          <w:bCs/>
          <w:sz w:val="28"/>
          <w:szCs w:val="28"/>
        </w:rPr>
      </w:pPr>
    </w:p>
    <w:p w:rsidR="00AA032C" w:rsidRPr="00AA032C" w:rsidRDefault="00AA032C" w:rsidP="00AA032C">
      <w:pPr>
        <w:widowControl w:val="0"/>
        <w:autoSpaceDE w:val="0"/>
        <w:autoSpaceDN w:val="0"/>
        <w:adjustRightInd w:val="0"/>
        <w:ind w:firstLine="568"/>
        <w:jc w:val="both"/>
        <w:rPr>
          <w:sz w:val="28"/>
          <w:szCs w:val="28"/>
        </w:rPr>
      </w:pPr>
      <w:r w:rsidRPr="00AA032C">
        <w:rPr>
          <w:sz w:val="28"/>
          <w:szCs w:val="28"/>
        </w:rPr>
        <w:t>Хокук бозуларны профилактикалауның, хокук тәртибен һәм җәмәгать куркынычсызлыгын ныгытуның күпдәрәҗәле системасын формалаштыру, әлеге эшчәнлеккә муниципаль органнарны, иҗтимагый оешмаларны һәм халыкны җәлеп итү, җинаятьләр кылуга китерә торган сәбәпләрне һәм шартларны локальләштерү максатларында, шулай ук Татарстан Республикасы Министрлар Кабинетының 2012 елның 31 декабрендәге  «Татарстан Республикасы дәүләт программаларын эшләү, гамәлгә ашыру һәм аларның нәтиҗәлелеген бәяләү тәртибен һәм бәяләүне раслау турында» 1199 номерлы карары нигезендәТатарстан Республикасы Мамадыш муниципаль районы башкарма комитеты карар бирә:</w:t>
      </w:r>
    </w:p>
    <w:p w:rsidR="00AA032C" w:rsidRPr="00AA032C" w:rsidRDefault="00AA032C" w:rsidP="00AA032C">
      <w:pPr>
        <w:widowControl w:val="0"/>
        <w:autoSpaceDE w:val="0"/>
        <w:autoSpaceDN w:val="0"/>
        <w:adjustRightInd w:val="0"/>
        <w:ind w:firstLine="720"/>
        <w:jc w:val="both"/>
        <w:rPr>
          <w:bCs/>
          <w:sz w:val="28"/>
          <w:szCs w:val="28"/>
        </w:rPr>
      </w:pPr>
      <w:r w:rsidRPr="00AA032C">
        <w:rPr>
          <w:sz w:val="28"/>
          <w:szCs w:val="28"/>
        </w:rPr>
        <w:t xml:space="preserve">1. Татарстан Республикасы Мамадыш муниципаль районы Башкарма комитетының 2024 елның 25 декабрендәге 469 номерлы карары </w:t>
      </w:r>
      <w:r w:rsidRPr="00AA032C">
        <w:rPr>
          <w:sz w:val="28"/>
          <w:szCs w:val="28"/>
          <w:lang w:val="tt-RU"/>
        </w:rPr>
        <w:t xml:space="preserve">белән расланган </w:t>
      </w:r>
      <w:r w:rsidRPr="00AA032C">
        <w:rPr>
          <w:sz w:val="28"/>
          <w:szCs w:val="28"/>
        </w:rPr>
        <w:t>«2025-2027 елларга Татарстан Республикасы Мамадыш муниципаль районында хокук бозуларны һәм җинаятьләрне профилактикалау эшчәнлеген оештыру» Комплекслы программасын</w:t>
      </w:r>
      <w:r w:rsidRPr="00AA032C">
        <w:rPr>
          <w:sz w:val="28"/>
          <w:szCs w:val="28"/>
          <w:lang w:val="tt-RU"/>
        </w:rPr>
        <w:t xml:space="preserve">а ( алга таба – Прогорамма) түбәндәге үзгәрешләрне кертергә:  </w:t>
      </w:r>
    </w:p>
    <w:p w:rsidR="00AA032C" w:rsidRPr="00AA032C" w:rsidRDefault="00AA032C" w:rsidP="00AA032C">
      <w:pPr>
        <w:widowControl w:val="0"/>
        <w:autoSpaceDE w:val="0"/>
        <w:autoSpaceDN w:val="0"/>
        <w:adjustRightInd w:val="0"/>
        <w:jc w:val="both"/>
        <w:outlineLvl w:val="2"/>
        <w:rPr>
          <w:bCs/>
          <w:sz w:val="28"/>
          <w:szCs w:val="28"/>
        </w:rPr>
      </w:pPr>
      <w:r w:rsidRPr="00AA032C">
        <w:rPr>
          <w:bCs/>
          <w:sz w:val="28"/>
          <w:szCs w:val="28"/>
        </w:rPr>
        <w:tab/>
        <w:t>1.1.</w:t>
      </w:r>
      <w:r w:rsidRPr="00AA032C">
        <w:rPr>
          <w:bCs/>
          <w:sz w:val="28"/>
          <w:szCs w:val="28"/>
          <w:lang w:val="tt-RU"/>
        </w:rPr>
        <w:t xml:space="preserve"> Программага түбәндәге эчтәлекле 4,5,6,7 пунктлар өстәргә:</w:t>
      </w:r>
      <w:r w:rsidRPr="00AA032C">
        <w:rPr>
          <w:bCs/>
          <w:sz w:val="28"/>
          <w:szCs w:val="28"/>
        </w:rPr>
        <w:t xml:space="preserve"> </w:t>
      </w:r>
    </w:p>
    <w:p w:rsidR="00AA032C" w:rsidRPr="00AA032C" w:rsidRDefault="00AA032C" w:rsidP="00AA032C">
      <w:pPr>
        <w:widowControl w:val="0"/>
        <w:autoSpaceDE w:val="0"/>
        <w:autoSpaceDN w:val="0"/>
        <w:adjustRightInd w:val="0"/>
        <w:ind w:firstLine="720"/>
        <w:jc w:val="both"/>
        <w:rPr>
          <w:sz w:val="28"/>
          <w:szCs w:val="28"/>
        </w:rPr>
      </w:pPr>
      <w:r w:rsidRPr="00AA032C">
        <w:rPr>
          <w:sz w:val="28"/>
          <w:szCs w:val="28"/>
        </w:rPr>
        <w:t>2. 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AA032C" w:rsidRPr="00AA032C" w:rsidRDefault="00AA032C" w:rsidP="00AA032C">
      <w:pPr>
        <w:widowControl w:val="0"/>
        <w:autoSpaceDE w:val="0"/>
        <w:autoSpaceDN w:val="0"/>
        <w:adjustRightInd w:val="0"/>
        <w:ind w:firstLine="720"/>
        <w:jc w:val="both"/>
        <w:rPr>
          <w:sz w:val="28"/>
          <w:szCs w:val="28"/>
        </w:rPr>
      </w:pPr>
      <w:r w:rsidRPr="00AA032C">
        <w:rPr>
          <w:sz w:val="28"/>
          <w:szCs w:val="28"/>
        </w:rPr>
        <w:t>3. Әлеге карарның үтәлешен тикшереп торуны Татарстан Республикасы Мамадыш муниципаль районы Башкарма комитеты җитәкчесе урынбасары А.М. Ефимовка йөкләргә.</w:t>
      </w:r>
    </w:p>
    <w:p w:rsidR="00AA032C" w:rsidRPr="00AA032C" w:rsidRDefault="00AA032C" w:rsidP="00AA032C">
      <w:pPr>
        <w:widowControl w:val="0"/>
        <w:autoSpaceDE w:val="0"/>
        <w:autoSpaceDN w:val="0"/>
        <w:adjustRightInd w:val="0"/>
        <w:ind w:firstLine="568"/>
        <w:jc w:val="both"/>
        <w:rPr>
          <w:sz w:val="28"/>
          <w:szCs w:val="28"/>
        </w:rPr>
      </w:pPr>
    </w:p>
    <w:p w:rsidR="00AA032C" w:rsidRPr="00AA032C" w:rsidRDefault="00AA032C" w:rsidP="00AA032C">
      <w:pPr>
        <w:widowControl w:val="0"/>
        <w:autoSpaceDE w:val="0"/>
        <w:autoSpaceDN w:val="0"/>
        <w:adjustRightInd w:val="0"/>
        <w:jc w:val="both"/>
        <w:rPr>
          <w:sz w:val="28"/>
          <w:szCs w:val="28"/>
        </w:rPr>
      </w:pPr>
      <w:r w:rsidRPr="00AA032C">
        <w:rPr>
          <w:sz w:val="28"/>
          <w:szCs w:val="28"/>
        </w:rPr>
        <w:t xml:space="preserve">   </w:t>
      </w:r>
    </w:p>
    <w:p w:rsidR="00AA032C" w:rsidRPr="00AA032C" w:rsidRDefault="00AA032C" w:rsidP="00AA032C">
      <w:pPr>
        <w:widowControl w:val="0"/>
        <w:autoSpaceDE w:val="0"/>
        <w:autoSpaceDN w:val="0"/>
        <w:adjustRightInd w:val="0"/>
        <w:rPr>
          <w:sz w:val="28"/>
          <w:szCs w:val="28"/>
          <w:lang w:val="tt-RU"/>
        </w:rPr>
      </w:pPr>
      <w:r w:rsidRPr="00AA032C">
        <w:rPr>
          <w:sz w:val="28"/>
          <w:szCs w:val="28"/>
          <w:lang w:val="tt-RU"/>
        </w:rPr>
        <w:t>Җитәкче</w:t>
      </w:r>
      <w:r>
        <w:rPr>
          <w:sz w:val="28"/>
          <w:szCs w:val="28"/>
          <w:lang w:val="tt-RU"/>
        </w:rPr>
        <w:t xml:space="preserve">                                                                                                         </w:t>
      </w:r>
      <w:r w:rsidRPr="00AA032C">
        <w:rPr>
          <w:sz w:val="28"/>
          <w:szCs w:val="28"/>
        </w:rPr>
        <w:t> Р.М.Гарипов</w:t>
      </w:r>
    </w:p>
    <w:p w:rsidR="00AA032C" w:rsidRPr="00AA032C" w:rsidRDefault="00AA032C" w:rsidP="00AA032C">
      <w:pPr>
        <w:widowControl w:val="0"/>
        <w:autoSpaceDE w:val="0"/>
        <w:autoSpaceDN w:val="0"/>
        <w:adjustRightInd w:val="0"/>
        <w:jc w:val="right"/>
        <w:rPr>
          <w:sz w:val="28"/>
          <w:szCs w:val="28"/>
        </w:rPr>
      </w:pPr>
    </w:p>
    <w:p w:rsidR="00AA032C" w:rsidRPr="00AA032C" w:rsidRDefault="00AA032C" w:rsidP="00AA032C">
      <w:pPr>
        <w:widowControl w:val="0"/>
        <w:autoSpaceDE w:val="0"/>
        <w:autoSpaceDN w:val="0"/>
        <w:adjustRightInd w:val="0"/>
        <w:jc w:val="right"/>
        <w:rPr>
          <w:sz w:val="28"/>
          <w:szCs w:val="28"/>
        </w:rPr>
      </w:pPr>
    </w:p>
    <w:p w:rsidR="00AA032C" w:rsidRPr="00AA032C" w:rsidRDefault="00AA032C" w:rsidP="00AA032C">
      <w:pPr>
        <w:autoSpaceDE w:val="0"/>
        <w:autoSpaceDN w:val="0"/>
        <w:adjustRightInd w:val="0"/>
        <w:spacing w:before="108" w:after="108" w:line="256" w:lineRule="auto"/>
        <w:outlineLvl w:val="0"/>
        <w:rPr>
          <w:sz w:val="28"/>
          <w:szCs w:val="28"/>
        </w:rPr>
      </w:pPr>
    </w:p>
    <w:p w:rsidR="00AA032C" w:rsidRPr="00AA032C" w:rsidRDefault="00AA032C" w:rsidP="00AA032C">
      <w:pPr>
        <w:autoSpaceDE w:val="0"/>
        <w:autoSpaceDN w:val="0"/>
        <w:adjustRightInd w:val="0"/>
        <w:spacing w:before="108" w:after="108" w:line="256" w:lineRule="auto"/>
        <w:outlineLvl w:val="0"/>
        <w:rPr>
          <w:sz w:val="28"/>
          <w:szCs w:val="28"/>
        </w:rPr>
      </w:pPr>
    </w:p>
    <w:p w:rsidR="00AA032C" w:rsidRPr="00AA032C" w:rsidRDefault="00AA032C" w:rsidP="00AA032C">
      <w:pPr>
        <w:autoSpaceDE w:val="0"/>
        <w:autoSpaceDN w:val="0"/>
        <w:adjustRightInd w:val="0"/>
        <w:spacing w:before="108" w:after="108" w:line="256" w:lineRule="auto"/>
        <w:outlineLvl w:val="0"/>
        <w:rPr>
          <w:sz w:val="28"/>
          <w:szCs w:val="28"/>
        </w:rPr>
      </w:pPr>
    </w:p>
    <w:p w:rsidR="00AA032C" w:rsidRPr="00AA032C" w:rsidRDefault="00AA032C" w:rsidP="00AA032C">
      <w:pPr>
        <w:autoSpaceDE w:val="0"/>
        <w:autoSpaceDN w:val="0"/>
        <w:adjustRightInd w:val="0"/>
        <w:jc w:val="right"/>
        <w:outlineLvl w:val="0"/>
      </w:pPr>
      <w:r w:rsidRPr="00AA032C">
        <w:lastRenderedPageBreak/>
        <w:t xml:space="preserve">                                                                            </w:t>
      </w:r>
    </w:p>
    <w:p w:rsidR="00AA032C" w:rsidRPr="00AA032C" w:rsidRDefault="00AA032C" w:rsidP="00AA032C">
      <w:pPr>
        <w:autoSpaceDE w:val="0"/>
        <w:autoSpaceDN w:val="0"/>
        <w:adjustRightInd w:val="0"/>
        <w:ind w:left="720" w:firstLine="720"/>
        <w:jc w:val="right"/>
        <w:outlineLvl w:val="0"/>
        <w:rPr>
          <w:lang w:val="tt-RU"/>
        </w:rPr>
      </w:pPr>
      <w:r w:rsidRPr="00AA032C">
        <w:rPr>
          <w:lang w:val="tt-RU"/>
        </w:rPr>
        <w:t xml:space="preserve">                                    </w:t>
      </w:r>
    </w:p>
    <w:p w:rsidR="00AA032C" w:rsidRPr="00AA032C" w:rsidRDefault="00AA032C" w:rsidP="00AA032C">
      <w:pPr>
        <w:autoSpaceDE w:val="0"/>
        <w:autoSpaceDN w:val="0"/>
        <w:adjustRightInd w:val="0"/>
        <w:ind w:left="720" w:firstLine="720"/>
        <w:jc w:val="right"/>
        <w:outlineLvl w:val="0"/>
        <w:rPr>
          <w:lang w:val="tt-RU"/>
        </w:rPr>
      </w:pPr>
      <w:r w:rsidRPr="00AA032C">
        <w:rPr>
          <w:lang w:val="tt-RU"/>
        </w:rPr>
        <w:t xml:space="preserve">Татарстан Республикасы </w:t>
      </w:r>
    </w:p>
    <w:p w:rsidR="00AA032C" w:rsidRPr="00AA032C" w:rsidRDefault="00AA032C" w:rsidP="00AA032C">
      <w:pPr>
        <w:autoSpaceDE w:val="0"/>
        <w:autoSpaceDN w:val="0"/>
        <w:adjustRightInd w:val="0"/>
        <w:ind w:left="720" w:firstLine="720"/>
        <w:jc w:val="right"/>
        <w:outlineLvl w:val="0"/>
      </w:pPr>
      <w:r w:rsidRPr="00AA032C">
        <w:t>Мамадыш муниципаль районы</w:t>
      </w:r>
    </w:p>
    <w:p w:rsidR="00AA032C" w:rsidRPr="00AA032C" w:rsidRDefault="00AA032C" w:rsidP="00AA032C">
      <w:pPr>
        <w:autoSpaceDE w:val="0"/>
        <w:autoSpaceDN w:val="0"/>
        <w:adjustRightInd w:val="0"/>
        <w:jc w:val="right"/>
        <w:outlineLvl w:val="0"/>
      </w:pPr>
      <w:r w:rsidRPr="00AA032C">
        <w:t xml:space="preserve">                                                         Башкарма комитетының                                   </w:t>
      </w:r>
    </w:p>
    <w:p w:rsidR="00AA032C" w:rsidRPr="00AA032C" w:rsidRDefault="00AA032C" w:rsidP="00AA032C">
      <w:pPr>
        <w:autoSpaceDE w:val="0"/>
        <w:autoSpaceDN w:val="0"/>
        <w:adjustRightInd w:val="0"/>
        <w:jc w:val="right"/>
        <w:outlineLvl w:val="0"/>
      </w:pPr>
      <w:r w:rsidRPr="00AA032C">
        <w:t xml:space="preserve">                                                    </w:t>
      </w:r>
      <w:r w:rsidR="005563AB">
        <w:t xml:space="preserve">                        01.08.2025 ел, № 287 </w:t>
      </w:r>
      <w:r w:rsidRPr="00AA032C">
        <w:t xml:space="preserve"> карарына  </w:t>
      </w:r>
    </w:p>
    <w:p w:rsidR="00AA032C" w:rsidRPr="00AA032C" w:rsidRDefault="00AA032C" w:rsidP="00AA032C">
      <w:pPr>
        <w:autoSpaceDE w:val="0"/>
        <w:autoSpaceDN w:val="0"/>
        <w:adjustRightInd w:val="0"/>
        <w:jc w:val="right"/>
        <w:outlineLvl w:val="0"/>
        <w:rPr>
          <w:sz w:val="28"/>
          <w:szCs w:val="28"/>
        </w:rPr>
      </w:pPr>
      <w:r w:rsidRPr="00AA032C">
        <w:t xml:space="preserve">                                                1 нче кушымта                                                                    </w:t>
      </w:r>
    </w:p>
    <w:p w:rsidR="00AA032C" w:rsidRPr="00AA032C" w:rsidRDefault="00AA032C" w:rsidP="00AA032C">
      <w:pPr>
        <w:autoSpaceDE w:val="0"/>
        <w:autoSpaceDN w:val="0"/>
        <w:adjustRightInd w:val="0"/>
        <w:outlineLvl w:val="0"/>
        <w:rPr>
          <w:sz w:val="28"/>
          <w:szCs w:val="28"/>
        </w:rPr>
      </w:pPr>
    </w:p>
    <w:p w:rsidR="00AA032C" w:rsidRPr="00AA032C" w:rsidRDefault="00AA032C" w:rsidP="00AA032C">
      <w:pPr>
        <w:autoSpaceDE w:val="0"/>
        <w:autoSpaceDN w:val="0"/>
        <w:adjustRightInd w:val="0"/>
        <w:spacing w:before="108" w:after="108" w:line="256" w:lineRule="auto"/>
        <w:jc w:val="center"/>
        <w:outlineLvl w:val="0"/>
        <w:rPr>
          <w:b/>
          <w:bCs/>
          <w:sz w:val="28"/>
          <w:szCs w:val="28"/>
        </w:rPr>
      </w:pPr>
      <w:r w:rsidRPr="00AA032C">
        <w:rPr>
          <w:b/>
          <w:bCs/>
          <w:sz w:val="28"/>
          <w:szCs w:val="28"/>
        </w:rPr>
        <w:t>4. Программаны ресурслар белән тәэмин итүне нигезләү</w:t>
      </w:r>
    </w:p>
    <w:p w:rsidR="00AA032C" w:rsidRPr="00AA032C" w:rsidRDefault="00AA032C" w:rsidP="00AA032C">
      <w:pPr>
        <w:autoSpaceDE w:val="0"/>
        <w:autoSpaceDN w:val="0"/>
        <w:adjustRightInd w:val="0"/>
        <w:spacing w:after="160" w:line="256" w:lineRule="auto"/>
        <w:ind w:firstLine="720"/>
        <w:jc w:val="both"/>
        <w:rPr>
          <w:sz w:val="28"/>
          <w:szCs w:val="28"/>
        </w:rPr>
      </w:pPr>
      <w:r w:rsidRPr="00AA032C">
        <w:rPr>
          <w:sz w:val="28"/>
          <w:szCs w:val="28"/>
        </w:rPr>
        <w:t>Программаны Мамадыш муниципаль районы бюджеты хисабына финанслауның гомуми күләме 34376,8 мең сум тәшкил итә.</w:t>
      </w:r>
    </w:p>
    <w:tbl>
      <w:tblPr>
        <w:tblW w:w="1017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92"/>
        <w:gridCol w:w="6378"/>
      </w:tblGrid>
      <w:tr w:rsidR="00AA032C" w:rsidRPr="00AA032C" w:rsidTr="00AA032C">
        <w:tc>
          <w:tcPr>
            <w:tcW w:w="3794" w:type="dxa"/>
            <w:tcBorders>
              <w:top w:val="nil"/>
              <w:left w:val="nil"/>
              <w:bottom w:val="single" w:sz="4" w:space="0" w:color="auto"/>
              <w:right w:val="nil"/>
            </w:tcBorders>
          </w:tcPr>
          <w:p w:rsidR="00AA032C" w:rsidRPr="00AA032C" w:rsidRDefault="00AA032C" w:rsidP="00AA032C">
            <w:pPr>
              <w:autoSpaceDE w:val="0"/>
              <w:autoSpaceDN w:val="0"/>
              <w:adjustRightInd w:val="0"/>
              <w:spacing w:after="160" w:line="256" w:lineRule="auto"/>
              <w:jc w:val="both"/>
              <w:rPr>
                <w:sz w:val="28"/>
                <w:szCs w:val="28"/>
              </w:rPr>
            </w:pPr>
          </w:p>
        </w:tc>
        <w:tc>
          <w:tcPr>
            <w:tcW w:w="6382" w:type="dxa"/>
            <w:tcBorders>
              <w:top w:val="nil"/>
              <w:left w:val="nil"/>
              <w:bottom w:val="single" w:sz="4" w:space="0" w:color="auto"/>
              <w:right w:val="nil"/>
            </w:tcBorders>
          </w:tcPr>
          <w:p w:rsidR="00AA032C" w:rsidRPr="00AA032C" w:rsidRDefault="00AA032C" w:rsidP="00AA032C">
            <w:pPr>
              <w:autoSpaceDE w:val="0"/>
              <w:autoSpaceDN w:val="0"/>
              <w:adjustRightInd w:val="0"/>
              <w:spacing w:after="160" w:line="256" w:lineRule="auto"/>
              <w:jc w:val="right"/>
              <w:rPr>
                <w:sz w:val="28"/>
                <w:szCs w:val="28"/>
              </w:rPr>
            </w:pPr>
          </w:p>
        </w:tc>
      </w:tr>
      <w:tr w:rsidR="00AA032C" w:rsidRPr="00AA032C" w:rsidTr="00AA032C">
        <w:tc>
          <w:tcPr>
            <w:tcW w:w="3794"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lang w:val="tt-RU"/>
              </w:rPr>
            </w:pPr>
            <w:r w:rsidRPr="00AA032C">
              <w:rPr>
                <w:sz w:val="28"/>
                <w:szCs w:val="28"/>
                <w:lang w:val="tt-RU"/>
              </w:rPr>
              <w:t>ел</w:t>
            </w:r>
          </w:p>
        </w:tc>
        <w:tc>
          <w:tcPr>
            <w:tcW w:w="6382"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lang w:val="tt-RU"/>
              </w:rPr>
            </w:pPr>
            <w:r w:rsidRPr="00AA032C">
              <w:rPr>
                <w:sz w:val="28"/>
                <w:szCs w:val="28"/>
              </w:rPr>
              <w:t>Мамадыш муниципаль районы  (тыс. рублей)</w:t>
            </w:r>
            <w:r w:rsidRPr="00AA032C">
              <w:rPr>
                <w:rFonts w:ascii="Calibri" w:hAnsi="Calibri"/>
                <w:sz w:val="22"/>
                <w:szCs w:val="22"/>
              </w:rPr>
              <w:t xml:space="preserve"> </w:t>
            </w:r>
            <w:r w:rsidRPr="00AA032C">
              <w:rPr>
                <w:sz w:val="28"/>
                <w:szCs w:val="28"/>
              </w:rPr>
              <w:t>бюджеты</w:t>
            </w:r>
            <w:r w:rsidRPr="00AA032C">
              <w:rPr>
                <w:sz w:val="28"/>
                <w:szCs w:val="28"/>
                <w:lang w:val="tt-RU"/>
              </w:rPr>
              <w:t xml:space="preserve"> акчалары</w:t>
            </w:r>
          </w:p>
        </w:tc>
      </w:tr>
      <w:tr w:rsidR="00AA032C" w:rsidRPr="00AA032C" w:rsidTr="00AA032C">
        <w:tc>
          <w:tcPr>
            <w:tcW w:w="3794"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rPr>
            </w:pPr>
            <w:r w:rsidRPr="00AA032C">
              <w:rPr>
                <w:sz w:val="28"/>
                <w:szCs w:val="28"/>
              </w:rPr>
              <w:t>2025</w:t>
            </w:r>
          </w:p>
        </w:tc>
        <w:tc>
          <w:tcPr>
            <w:tcW w:w="6382"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pacing w:before="40" w:after="40" w:line="256" w:lineRule="auto"/>
              <w:rPr>
                <w:sz w:val="28"/>
                <w:szCs w:val="28"/>
              </w:rPr>
            </w:pPr>
            <w:r w:rsidRPr="00AA032C">
              <w:rPr>
                <w:sz w:val="28"/>
                <w:szCs w:val="28"/>
              </w:rPr>
              <w:t>11435,6</w:t>
            </w:r>
          </w:p>
        </w:tc>
      </w:tr>
      <w:tr w:rsidR="00AA032C" w:rsidRPr="00AA032C" w:rsidTr="00AA032C">
        <w:tc>
          <w:tcPr>
            <w:tcW w:w="3794"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rPr>
            </w:pPr>
            <w:r w:rsidRPr="00AA032C">
              <w:rPr>
                <w:sz w:val="28"/>
                <w:szCs w:val="28"/>
              </w:rPr>
              <w:t>2026</w:t>
            </w:r>
          </w:p>
        </w:tc>
        <w:tc>
          <w:tcPr>
            <w:tcW w:w="6382"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pacing w:before="40" w:after="40" w:line="256" w:lineRule="auto"/>
              <w:rPr>
                <w:sz w:val="28"/>
                <w:szCs w:val="28"/>
              </w:rPr>
            </w:pPr>
            <w:r w:rsidRPr="00AA032C">
              <w:rPr>
                <w:sz w:val="28"/>
                <w:szCs w:val="28"/>
              </w:rPr>
              <w:t>11435,6</w:t>
            </w:r>
          </w:p>
        </w:tc>
      </w:tr>
      <w:tr w:rsidR="00AA032C" w:rsidRPr="00AA032C" w:rsidTr="00AA032C">
        <w:tc>
          <w:tcPr>
            <w:tcW w:w="3794"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rPr>
            </w:pPr>
            <w:r w:rsidRPr="00AA032C">
              <w:rPr>
                <w:sz w:val="28"/>
                <w:szCs w:val="28"/>
              </w:rPr>
              <w:t>2027</w:t>
            </w:r>
          </w:p>
        </w:tc>
        <w:tc>
          <w:tcPr>
            <w:tcW w:w="6382"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pacing w:before="40" w:after="40" w:line="256" w:lineRule="auto"/>
              <w:rPr>
                <w:sz w:val="28"/>
                <w:szCs w:val="28"/>
              </w:rPr>
            </w:pPr>
            <w:r w:rsidRPr="00AA032C">
              <w:rPr>
                <w:sz w:val="28"/>
                <w:szCs w:val="28"/>
              </w:rPr>
              <w:t>11485,6</w:t>
            </w:r>
          </w:p>
        </w:tc>
      </w:tr>
      <w:tr w:rsidR="00AA032C" w:rsidRPr="00AA032C" w:rsidTr="00AA032C">
        <w:tc>
          <w:tcPr>
            <w:tcW w:w="3794"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autoSpaceDE w:val="0"/>
              <w:autoSpaceDN w:val="0"/>
              <w:adjustRightInd w:val="0"/>
              <w:spacing w:after="160" w:line="256" w:lineRule="auto"/>
              <w:rPr>
                <w:sz w:val="28"/>
                <w:szCs w:val="28"/>
              </w:rPr>
            </w:pPr>
            <w:r w:rsidRPr="00AA032C">
              <w:rPr>
                <w:sz w:val="28"/>
                <w:szCs w:val="28"/>
              </w:rPr>
              <w:t>Всего:</w:t>
            </w:r>
          </w:p>
        </w:tc>
        <w:tc>
          <w:tcPr>
            <w:tcW w:w="6382"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8"/>
                <w:szCs w:val="28"/>
              </w:rPr>
            </w:pPr>
            <w:r w:rsidRPr="00AA032C">
              <w:rPr>
                <w:sz w:val="28"/>
                <w:szCs w:val="28"/>
              </w:rPr>
              <w:t>34376,8</w:t>
            </w:r>
          </w:p>
        </w:tc>
      </w:tr>
    </w:tbl>
    <w:p w:rsidR="00AA032C" w:rsidRPr="00AA032C" w:rsidRDefault="00AA032C" w:rsidP="00AA032C">
      <w:pPr>
        <w:autoSpaceDE w:val="0"/>
        <w:autoSpaceDN w:val="0"/>
        <w:adjustRightInd w:val="0"/>
        <w:spacing w:after="160" w:line="256" w:lineRule="auto"/>
        <w:ind w:firstLine="720"/>
        <w:jc w:val="both"/>
        <w:rPr>
          <w:sz w:val="28"/>
          <w:szCs w:val="28"/>
        </w:rPr>
      </w:pPr>
    </w:p>
    <w:p w:rsidR="00AA032C" w:rsidRPr="00AA032C" w:rsidRDefault="00AA032C" w:rsidP="00AA032C">
      <w:pPr>
        <w:autoSpaceDE w:val="0"/>
        <w:autoSpaceDN w:val="0"/>
        <w:adjustRightInd w:val="0"/>
        <w:ind w:firstLine="720"/>
        <w:jc w:val="both"/>
        <w:rPr>
          <w:sz w:val="28"/>
          <w:szCs w:val="28"/>
        </w:rPr>
      </w:pPr>
      <w:r w:rsidRPr="00AA032C">
        <w:rPr>
          <w:sz w:val="28"/>
          <w:szCs w:val="28"/>
        </w:rPr>
        <w:t>Программа чараларын гамәлгә ашыруга чараларны башкаручыларның төп эшчәнлеген финанслауга бүлеп бирелә торган акчаларны куллану күздә тотыла.</w:t>
      </w:r>
    </w:p>
    <w:p w:rsidR="00AA032C" w:rsidRPr="00AA032C" w:rsidRDefault="00AA032C" w:rsidP="00AA032C">
      <w:pPr>
        <w:autoSpaceDE w:val="0"/>
        <w:autoSpaceDN w:val="0"/>
        <w:adjustRightInd w:val="0"/>
        <w:ind w:firstLine="720"/>
        <w:jc w:val="both"/>
        <w:rPr>
          <w:sz w:val="28"/>
          <w:szCs w:val="28"/>
        </w:rPr>
      </w:pPr>
      <w:r w:rsidRPr="00AA032C">
        <w:rPr>
          <w:sz w:val="28"/>
          <w:szCs w:val="28"/>
        </w:rPr>
        <w:t>Программаны финанслау күләмнәре фаразлау характерында була һәм Мамадыш муниципаль районы бюджеты мөмкинлекләреннән чыгып, тиешле елга Мамадыш муниципаль районы бюджеты проектын формалаштырганда билгеләнгән тәртиптә ел саен төгәлләштерелергә тиеш.</w:t>
      </w:r>
    </w:p>
    <w:p w:rsidR="00AA032C" w:rsidRPr="00AA032C" w:rsidRDefault="00AA032C" w:rsidP="00AA032C">
      <w:pPr>
        <w:rPr>
          <w:sz w:val="28"/>
          <w:szCs w:val="28"/>
        </w:rPr>
      </w:pPr>
    </w:p>
    <w:p w:rsidR="00AA032C" w:rsidRPr="00AA032C" w:rsidRDefault="00AA032C" w:rsidP="00AA032C">
      <w:pPr>
        <w:widowControl w:val="0"/>
        <w:autoSpaceDE w:val="0"/>
        <w:autoSpaceDN w:val="0"/>
        <w:adjustRightInd w:val="0"/>
        <w:jc w:val="center"/>
        <w:outlineLvl w:val="1"/>
        <w:rPr>
          <w:b/>
          <w:sz w:val="28"/>
          <w:szCs w:val="28"/>
        </w:rPr>
      </w:pPr>
      <w:r w:rsidRPr="00AA032C">
        <w:rPr>
          <w:b/>
          <w:sz w:val="28"/>
          <w:szCs w:val="28"/>
        </w:rPr>
        <w:t>5. Программаны гамәлгә ашыру механизмы</w:t>
      </w:r>
    </w:p>
    <w:p w:rsidR="00AA032C" w:rsidRPr="00AA032C" w:rsidRDefault="00AA032C" w:rsidP="00AA032C">
      <w:pPr>
        <w:widowControl w:val="0"/>
        <w:autoSpaceDE w:val="0"/>
        <w:autoSpaceDN w:val="0"/>
        <w:adjustRightInd w:val="0"/>
        <w:jc w:val="center"/>
        <w:outlineLvl w:val="1"/>
        <w:rPr>
          <w:b/>
          <w:sz w:val="28"/>
          <w:szCs w:val="28"/>
        </w:rPr>
      </w:pPr>
    </w:p>
    <w:p w:rsidR="00AA032C" w:rsidRPr="00AA032C" w:rsidRDefault="00AA032C" w:rsidP="00AA032C">
      <w:pPr>
        <w:ind w:firstLine="540"/>
        <w:jc w:val="both"/>
        <w:rPr>
          <w:sz w:val="28"/>
          <w:szCs w:val="28"/>
        </w:rPr>
      </w:pPr>
      <w:r w:rsidRPr="00AA032C">
        <w:rPr>
          <w:sz w:val="28"/>
          <w:szCs w:val="28"/>
        </w:rPr>
        <w:t xml:space="preserve">Программаны планлаштыру, үзара хезмәттәшлек итү, координацияләү һәм аның үтәлешенә гомуми контрольне Мамадыш муниципаль районы Башкарма комитеты гамәлгә ашыра, ул ел саен Программа чараларының максатчан күрсәткечләрен һәм чыгымнарын, программаны гамәлгә ашыру механизмын һәм башкаручылар составын төгәлләштерә, чараларны үтәү өчен җаваплы субъектлардан программаны үтәү барышы турында белешмәләр сората. </w:t>
      </w:r>
    </w:p>
    <w:p w:rsidR="00AA032C" w:rsidRPr="00AA032C" w:rsidRDefault="00AA032C" w:rsidP="00AA032C">
      <w:pPr>
        <w:ind w:firstLine="540"/>
        <w:jc w:val="both"/>
        <w:rPr>
          <w:sz w:val="28"/>
          <w:szCs w:val="28"/>
        </w:rPr>
      </w:pPr>
      <w:r w:rsidRPr="00AA032C">
        <w:rPr>
          <w:sz w:val="28"/>
          <w:szCs w:val="28"/>
        </w:rPr>
        <w:t>Программаны гамәлгә ашыру чаралар исемлеге, аларны үтәү сроклары, бюджет ассигнованиеләре күрсәтелгән еллык план нигезендә гамәлгә ашырыла.</w:t>
      </w:r>
    </w:p>
    <w:p w:rsidR="00AA032C" w:rsidRPr="00AA032C" w:rsidRDefault="00AA032C" w:rsidP="00AA032C">
      <w:pPr>
        <w:ind w:firstLine="540"/>
        <w:jc w:val="both"/>
        <w:rPr>
          <w:sz w:val="28"/>
          <w:szCs w:val="28"/>
        </w:rPr>
      </w:pPr>
      <w:r w:rsidRPr="00AA032C">
        <w:rPr>
          <w:sz w:val="28"/>
          <w:szCs w:val="28"/>
        </w:rPr>
        <w:t>Программаны гамәлгә ашыру өчен җаваплы башкаручылар квартал саен, хисап чорыннан соң килә торган айның 10 числосына кадәр, чараларны башкаручыларга тиешле бюджетлардан үсә барган йомгак белән һәм тулаем алганда хисап елында бүлеп бирелә торган чараларның үтәлеше һәм үзләштерелгән акчалар турында мәгълүмат тапшыралар.</w:t>
      </w:r>
    </w:p>
    <w:p w:rsidR="00AA032C" w:rsidRPr="00AA032C" w:rsidRDefault="00AA032C" w:rsidP="00AA032C">
      <w:pPr>
        <w:ind w:firstLine="540"/>
        <w:jc w:val="both"/>
        <w:rPr>
          <w:sz w:val="28"/>
          <w:szCs w:val="28"/>
        </w:rPr>
      </w:pPr>
      <w:r w:rsidRPr="00AA032C">
        <w:rPr>
          <w:sz w:val="28"/>
          <w:szCs w:val="28"/>
        </w:rPr>
        <w:t xml:space="preserve">Программага үзгәрешләр кертү Программа чараларын җаваплы башкаручы тарафыннан </w:t>
      </w:r>
      <w:r w:rsidRPr="00AA032C">
        <w:rPr>
          <w:sz w:val="28"/>
          <w:szCs w:val="28"/>
          <w:lang w:val="tt-RU"/>
        </w:rPr>
        <w:t>яисә</w:t>
      </w:r>
      <w:r w:rsidRPr="00AA032C">
        <w:rPr>
          <w:sz w:val="28"/>
          <w:szCs w:val="28"/>
        </w:rPr>
        <w:t xml:space="preserve"> билгеләнгән таләпләр нигезендә Татарстан Республикасы Хөкүмәте йөкләмәләрен үтәү йөзеннән гамәлгә ашырыла.</w:t>
      </w:r>
    </w:p>
    <w:p w:rsidR="00AA032C" w:rsidRPr="00AA032C" w:rsidRDefault="00AA032C" w:rsidP="00AA032C">
      <w:pPr>
        <w:widowControl w:val="0"/>
        <w:autoSpaceDE w:val="0"/>
        <w:autoSpaceDN w:val="0"/>
        <w:adjustRightInd w:val="0"/>
        <w:spacing w:after="160" w:line="256" w:lineRule="auto"/>
        <w:jc w:val="both"/>
        <w:outlineLvl w:val="1"/>
        <w:rPr>
          <w:sz w:val="28"/>
          <w:szCs w:val="28"/>
        </w:rPr>
      </w:pPr>
      <w:r w:rsidRPr="00AA032C">
        <w:rPr>
          <w:sz w:val="28"/>
          <w:szCs w:val="28"/>
        </w:rPr>
        <w:t xml:space="preserve">Программа чараларының үтәлешен һәм финанс чараларыннан файдалануның </w:t>
      </w:r>
      <w:r w:rsidRPr="00AA032C">
        <w:rPr>
          <w:sz w:val="28"/>
          <w:szCs w:val="28"/>
        </w:rPr>
        <w:lastRenderedPageBreak/>
        <w:t>нәтиҗәлелеген Мамадыш муниципаль районының хокук бозуларны профилактикалау буенча ведомствоара комиссия утырышларында даими карау планлаштырыла, анда Хокук бозуларны профилактикалау субъектлары җитәкчеләре - программаны башкаручылар тыңланачак. Ел саен 1 февральгә кадәр Мамадыш муниципаль районы Советы утырышына узган ел программаны гамәлгә ашыру турында йомгаклау доклады тәкъдим ителә.</w:t>
      </w:r>
    </w:p>
    <w:p w:rsidR="00AA032C" w:rsidRPr="00AA032C" w:rsidRDefault="00AA032C" w:rsidP="00AA032C">
      <w:pPr>
        <w:shd w:val="clear" w:color="auto" w:fill="FFFFFF"/>
        <w:jc w:val="center"/>
        <w:rPr>
          <w:b/>
          <w:sz w:val="28"/>
          <w:szCs w:val="28"/>
        </w:rPr>
      </w:pPr>
      <w:r w:rsidRPr="00AA032C">
        <w:rPr>
          <w:b/>
          <w:sz w:val="28"/>
          <w:szCs w:val="28"/>
        </w:rPr>
        <w:t>6. Программаның икътисадый, социаль һәм экологик</w:t>
      </w:r>
    </w:p>
    <w:p w:rsidR="00AA032C" w:rsidRPr="00AA032C" w:rsidRDefault="00AA032C" w:rsidP="00AA032C">
      <w:pPr>
        <w:shd w:val="clear" w:color="auto" w:fill="FFFFFF"/>
        <w:jc w:val="center"/>
        <w:rPr>
          <w:b/>
          <w:sz w:val="28"/>
          <w:szCs w:val="28"/>
        </w:rPr>
      </w:pPr>
      <w:r w:rsidRPr="00AA032C">
        <w:rPr>
          <w:b/>
          <w:sz w:val="28"/>
          <w:szCs w:val="28"/>
        </w:rPr>
        <w:t xml:space="preserve"> нәтиҗәлелеген бәяләү</w:t>
      </w:r>
    </w:p>
    <w:p w:rsidR="00AA032C" w:rsidRPr="00AA032C" w:rsidRDefault="00AA032C" w:rsidP="00AA032C">
      <w:pPr>
        <w:shd w:val="clear" w:color="auto" w:fill="FFFFFF"/>
        <w:jc w:val="center"/>
        <w:rPr>
          <w:sz w:val="28"/>
          <w:szCs w:val="28"/>
        </w:rPr>
      </w:pPr>
      <w:r w:rsidRPr="00AA032C">
        <w:rPr>
          <w:sz w:val="28"/>
          <w:szCs w:val="28"/>
        </w:rPr>
        <w:tab/>
      </w:r>
    </w:p>
    <w:p w:rsidR="00AA032C" w:rsidRPr="00AA032C" w:rsidRDefault="00AA032C" w:rsidP="00AA032C">
      <w:pPr>
        <w:shd w:val="clear" w:color="auto" w:fill="FFFFFF"/>
        <w:jc w:val="both"/>
        <w:rPr>
          <w:sz w:val="28"/>
          <w:szCs w:val="28"/>
        </w:rPr>
      </w:pPr>
      <w:r w:rsidRPr="00AA032C">
        <w:rPr>
          <w:sz w:val="28"/>
          <w:szCs w:val="28"/>
        </w:rPr>
        <w:tab/>
        <w:t xml:space="preserve">Программа чараларын үтәү </w:t>
      </w:r>
      <w:r w:rsidRPr="00AA032C">
        <w:rPr>
          <w:sz w:val="28"/>
          <w:szCs w:val="28"/>
          <w:lang w:val="tt-RU"/>
        </w:rPr>
        <w:t xml:space="preserve">түбәндәгеләрне үтәү </w:t>
      </w:r>
      <w:r w:rsidRPr="00AA032C">
        <w:rPr>
          <w:sz w:val="28"/>
          <w:szCs w:val="28"/>
        </w:rPr>
        <w:t>мөмкинлеге</w:t>
      </w:r>
      <w:r w:rsidRPr="00AA032C">
        <w:rPr>
          <w:sz w:val="28"/>
          <w:szCs w:val="28"/>
          <w:lang w:val="tt-RU"/>
        </w:rPr>
        <w:t>н</w:t>
      </w:r>
      <w:r w:rsidRPr="00AA032C">
        <w:rPr>
          <w:sz w:val="28"/>
          <w:szCs w:val="28"/>
        </w:rPr>
        <w:t xml:space="preserve"> бирәчәк:</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хокук бозуларны профилактикалау системасының нәтиҗәлелеген арттырырга, хокук бозуларны кисәтү эшчәнлеген оештыруга барлык профилактика субъектларын, җәмәгатьчелекне җәлеп итәргә;</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хокук бозуларны профилактикалау мәсьәләләрен норматив-хокукый җайга салуны тәэмин итәргә;</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законнарны үтәүче гражданның яшәү рәвешен формалаштыру өчен мәгълүмати-пропаганда эшчәнлегеннән тулырак файдалану;</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халыкның хокук саклау органнарына ышаныч дәрәҗәсен арттырырга;</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кылына торган авыр һәм аеруча авыр җинаятьләр санын киметергә;</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урамнарда һәм башка җәмәгать урыннарында криминоген хәлне тотрыклыландырырга һәм әлеге төр җинаятьләрне этаплап киметә башларга;</w:t>
      </w:r>
    </w:p>
    <w:p w:rsidR="00AA032C" w:rsidRPr="00AA032C" w:rsidRDefault="00AA032C" w:rsidP="00AA032C">
      <w:pPr>
        <w:numPr>
          <w:ilvl w:val="0"/>
          <w:numId w:val="18"/>
        </w:numPr>
        <w:shd w:val="clear" w:color="auto" w:fill="FFFFFF"/>
        <w:spacing w:after="160" w:line="256" w:lineRule="auto"/>
        <w:jc w:val="both"/>
        <w:rPr>
          <w:sz w:val="28"/>
          <w:szCs w:val="28"/>
          <w:lang w:val="tt-RU"/>
        </w:rPr>
      </w:pPr>
      <w:r w:rsidRPr="00AA032C">
        <w:rPr>
          <w:sz w:val="28"/>
          <w:szCs w:val="28"/>
          <w:lang w:val="tt-RU"/>
        </w:rPr>
        <w:t>балигъ булмаганнар тарафыннан кылынган хокук бозулар санын киметүне дәвам итәргә;</w:t>
      </w:r>
    </w:p>
    <w:p w:rsidR="00AA032C" w:rsidRPr="00AA032C" w:rsidRDefault="00AA032C" w:rsidP="00AA032C">
      <w:pPr>
        <w:shd w:val="clear" w:color="auto" w:fill="FFFFFF"/>
        <w:jc w:val="both"/>
        <w:rPr>
          <w:sz w:val="28"/>
          <w:szCs w:val="28"/>
          <w:lang w:val="tt-RU"/>
        </w:rPr>
      </w:pPr>
      <w:r w:rsidRPr="00AA032C">
        <w:rPr>
          <w:sz w:val="28"/>
          <w:szCs w:val="28"/>
          <w:lang w:val="tt-RU"/>
        </w:rPr>
        <w:t xml:space="preserve">    -   элек хөкем ителгән затлар тарафыннан кылына торган хокук бозулар</w:t>
      </w:r>
      <w:bookmarkStart w:id="0" w:name="_GoBack"/>
      <w:bookmarkEnd w:id="0"/>
      <w:r w:rsidRPr="00AA032C">
        <w:rPr>
          <w:sz w:val="28"/>
          <w:szCs w:val="28"/>
          <w:lang w:val="tt-RU"/>
        </w:rPr>
        <w:t xml:space="preserve"> санын киметүне дәвам итәргә.</w:t>
      </w:r>
    </w:p>
    <w:p w:rsidR="00AA032C" w:rsidRPr="00AA032C" w:rsidRDefault="00AA032C" w:rsidP="00AA032C">
      <w:pPr>
        <w:rPr>
          <w:sz w:val="28"/>
          <w:szCs w:val="28"/>
          <w:lang w:val="tt-RU"/>
        </w:rPr>
        <w:sectPr w:rsidR="00AA032C" w:rsidRPr="00AA032C">
          <w:pgSz w:w="11906" w:h="16838"/>
          <w:pgMar w:top="709" w:right="539" w:bottom="425" w:left="1259" w:header="709" w:footer="709" w:gutter="0"/>
          <w:cols w:space="720"/>
        </w:sectPr>
      </w:pPr>
    </w:p>
    <w:p w:rsidR="00AA032C" w:rsidRPr="00AA032C" w:rsidRDefault="00AA032C" w:rsidP="00AA032C">
      <w:pPr>
        <w:suppressAutoHyphens/>
        <w:spacing w:after="160" w:line="256" w:lineRule="auto"/>
        <w:ind w:firstLine="720"/>
        <w:rPr>
          <w:b/>
          <w:bCs/>
          <w:iCs/>
          <w:sz w:val="28"/>
          <w:szCs w:val="28"/>
          <w:lang w:val="tt-RU"/>
        </w:rPr>
      </w:pPr>
      <w:r w:rsidRPr="00AA032C">
        <w:rPr>
          <w:b/>
          <w:bCs/>
          <w:iCs/>
          <w:sz w:val="28"/>
          <w:szCs w:val="28"/>
          <w:lang w:val="tt-RU"/>
        </w:rPr>
        <w:lastRenderedPageBreak/>
        <w:t>7. Программаны гамәлгә ашыру нәтиҗәләрен бәяләү индикаторлары</w:t>
      </w:r>
    </w:p>
    <w:tbl>
      <w:tblPr>
        <w:tblW w:w="151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3829"/>
        <w:gridCol w:w="1418"/>
        <w:gridCol w:w="1588"/>
        <w:gridCol w:w="1417"/>
        <w:gridCol w:w="1701"/>
      </w:tblGrid>
      <w:tr w:rsidR="00AA032C" w:rsidRPr="00AA032C" w:rsidTr="00AA032C">
        <w:trPr>
          <w:trHeight w:val="664"/>
        </w:trPr>
        <w:tc>
          <w:tcPr>
            <w:tcW w:w="5180" w:type="dxa"/>
            <w:vMerge w:val="restart"/>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lang w:val="tt-RU"/>
              </w:rPr>
            </w:pPr>
            <w:r w:rsidRPr="00AA032C">
              <w:rPr>
                <w:sz w:val="24"/>
                <w:szCs w:val="24"/>
                <w:lang w:val="tt-RU"/>
              </w:rPr>
              <w:t>Бурыч исеме</w:t>
            </w:r>
          </w:p>
        </w:tc>
        <w:tc>
          <w:tcPr>
            <w:tcW w:w="3827" w:type="dxa"/>
            <w:vMerge w:val="restart"/>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lang w:val="tt-RU"/>
              </w:rPr>
            </w:pPr>
            <w:r w:rsidRPr="00AA032C">
              <w:rPr>
                <w:sz w:val="24"/>
                <w:szCs w:val="24"/>
                <w:lang w:val="tt-RU"/>
              </w:rPr>
              <w:t>Бәяләү индикаторлары ахыргы нәтиҗәләр</w:t>
            </w:r>
          </w:p>
          <w:p w:rsidR="00AA032C" w:rsidRPr="00AA032C" w:rsidRDefault="00AA032C" w:rsidP="00AA032C">
            <w:pPr>
              <w:spacing w:after="160" w:line="256" w:lineRule="auto"/>
              <w:rPr>
                <w:sz w:val="24"/>
                <w:szCs w:val="24"/>
                <w:lang w:val="tt-RU"/>
              </w:rPr>
            </w:pPr>
            <w:r w:rsidRPr="00AA032C">
              <w:rPr>
                <w:sz w:val="24"/>
                <w:szCs w:val="24"/>
                <w:lang w:val="tt-RU"/>
              </w:rPr>
              <w:t>(үлчәү берәмлекләре)</w:t>
            </w: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База күрсәткече</w:t>
            </w:r>
          </w:p>
        </w:tc>
        <w:tc>
          <w:tcPr>
            <w:tcW w:w="4706" w:type="dxa"/>
            <w:gridSpan w:val="3"/>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Индикаторларның кыйммәтләре</w:t>
            </w:r>
          </w:p>
        </w:tc>
      </w:tr>
      <w:tr w:rsidR="00AA032C" w:rsidRPr="00AA032C" w:rsidTr="00AA032C">
        <w:trPr>
          <w:trHeight w:val="560"/>
        </w:trPr>
        <w:tc>
          <w:tcPr>
            <w:tcW w:w="5180" w:type="dxa"/>
            <w:vMerge/>
            <w:tcBorders>
              <w:top w:val="single" w:sz="4" w:space="0" w:color="auto"/>
              <w:left w:val="single" w:sz="4" w:space="0" w:color="auto"/>
              <w:bottom w:val="single" w:sz="4" w:space="0" w:color="auto"/>
              <w:right w:val="single" w:sz="4" w:space="0" w:color="auto"/>
            </w:tcBorders>
            <w:vAlign w:val="center"/>
            <w:hideMark/>
          </w:tcPr>
          <w:p w:rsidR="00AA032C" w:rsidRPr="00AA032C" w:rsidRDefault="00AA032C" w:rsidP="00AA032C">
            <w:pPr>
              <w:spacing w:line="256" w:lineRule="auto"/>
              <w:rPr>
                <w:sz w:val="24"/>
                <w:szCs w:val="24"/>
                <w:lang w:val="tt-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A032C" w:rsidRPr="00AA032C" w:rsidRDefault="00AA032C" w:rsidP="00AA032C">
            <w:pPr>
              <w:spacing w:line="256"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2024г.</w:t>
            </w:r>
          </w:p>
        </w:tc>
        <w:tc>
          <w:tcPr>
            <w:tcW w:w="158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2025г.</w:t>
            </w:r>
          </w:p>
        </w:tc>
        <w:tc>
          <w:tcPr>
            <w:tcW w:w="141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2026г.</w:t>
            </w:r>
          </w:p>
        </w:tc>
        <w:tc>
          <w:tcPr>
            <w:tcW w:w="1701"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2027г.</w:t>
            </w:r>
          </w:p>
        </w:tc>
      </w:tr>
      <w:tr w:rsidR="00AA032C" w:rsidRPr="00AA032C" w:rsidTr="00AA032C">
        <w:tc>
          <w:tcPr>
            <w:tcW w:w="5180"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uppressAutoHyphens/>
              <w:spacing w:after="160" w:line="256" w:lineRule="auto"/>
              <w:outlineLvl w:val="1"/>
              <w:rPr>
                <w:bCs/>
                <w:iCs/>
                <w:sz w:val="24"/>
                <w:szCs w:val="24"/>
              </w:rPr>
            </w:pPr>
            <w:r w:rsidRPr="00AA032C">
              <w:rPr>
                <w:bCs/>
                <w:iCs/>
                <w:sz w:val="24"/>
                <w:szCs w:val="24"/>
              </w:rPr>
              <w:t>1. Татарстан Республикасы Мамадыш муниципаль районы территориясендә җинаятьчелек дәрәҗәсенең кимүе</w:t>
            </w:r>
          </w:p>
        </w:tc>
        <w:tc>
          <w:tcPr>
            <w:tcW w:w="382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10 мең кешегә (берәмлеккә)кылынган җинаятьләр саны</w:t>
            </w: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82</w:t>
            </w:r>
          </w:p>
        </w:tc>
        <w:tc>
          <w:tcPr>
            <w:tcW w:w="158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80</w:t>
            </w:r>
          </w:p>
        </w:tc>
        <w:tc>
          <w:tcPr>
            <w:tcW w:w="141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76</w:t>
            </w:r>
          </w:p>
        </w:tc>
      </w:tr>
      <w:tr w:rsidR="00AA032C" w:rsidRPr="00AA032C" w:rsidTr="00AA032C">
        <w:tc>
          <w:tcPr>
            <w:tcW w:w="5180"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uppressAutoHyphens/>
              <w:spacing w:after="160" w:line="256" w:lineRule="auto"/>
              <w:outlineLvl w:val="1"/>
              <w:rPr>
                <w:bCs/>
                <w:iCs/>
                <w:sz w:val="24"/>
                <w:szCs w:val="24"/>
              </w:rPr>
            </w:pPr>
            <w:r w:rsidRPr="00AA032C">
              <w:rPr>
                <w:sz w:val="24"/>
                <w:szCs w:val="24"/>
              </w:rPr>
              <w:t>2. Хөкем ителгәннәрне иректән мәхрүм итү урыннарыннан азат итүгә әзерләүне оештыру</w:t>
            </w:r>
          </w:p>
        </w:tc>
        <w:tc>
          <w:tcPr>
            <w:tcW w:w="382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элек хөкем ителгән затлар тарафыннан кылынган җинаятьләрнең, тикшерелгән җинаятьләрнең гомуми санының чагыштырма күләме, процентлар</w:t>
            </w: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21,7</w:t>
            </w:r>
          </w:p>
        </w:tc>
        <w:tc>
          <w:tcPr>
            <w:tcW w:w="158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21,6</w:t>
            </w:r>
          </w:p>
        </w:tc>
        <w:tc>
          <w:tcPr>
            <w:tcW w:w="141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21,5</w:t>
            </w:r>
          </w:p>
        </w:tc>
        <w:tc>
          <w:tcPr>
            <w:tcW w:w="1701"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21,4</w:t>
            </w:r>
          </w:p>
        </w:tc>
      </w:tr>
      <w:tr w:rsidR="00AA032C" w:rsidRPr="00AA032C" w:rsidTr="00AA032C">
        <w:tc>
          <w:tcPr>
            <w:tcW w:w="5180"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uppressAutoHyphens/>
              <w:spacing w:after="160" w:line="256" w:lineRule="auto"/>
              <w:outlineLvl w:val="1"/>
              <w:rPr>
                <w:sz w:val="24"/>
                <w:szCs w:val="24"/>
              </w:rPr>
            </w:pPr>
            <w:r w:rsidRPr="00AA032C">
              <w:rPr>
                <w:sz w:val="24"/>
                <w:szCs w:val="24"/>
              </w:rPr>
              <w:t>3. Иҗтимагый иминлекне тәэмин итүдә эчке эшләр органнары эшчәнлеген оештыру һәм заманча</w:t>
            </w:r>
          </w:p>
          <w:p w:rsidR="00AA032C" w:rsidRPr="00AA032C" w:rsidRDefault="00AA032C" w:rsidP="00AA032C">
            <w:pPr>
              <w:keepNext/>
              <w:suppressAutoHyphens/>
              <w:spacing w:after="160" w:line="256" w:lineRule="auto"/>
              <w:outlineLvl w:val="1"/>
              <w:rPr>
                <w:sz w:val="24"/>
                <w:szCs w:val="24"/>
              </w:rPr>
            </w:pPr>
            <w:r w:rsidRPr="00AA032C">
              <w:rPr>
                <w:sz w:val="24"/>
                <w:szCs w:val="24"/>
              </w:rPr>
              <w:t>җәмәгать урыннарында хокук тәртибен һәм иминлекне тәэмин итү һәм җинаятьләрне ачу өчен техник чаралар</w:t>
            </w:r>
          </w:p>
        </w:tc>
        <w:tc>
          <w:tcPr>
            <w:tcW w:w="382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җәмәгать урыннарында теркәлгән, кылынган җинаятьләрнең гомуми санының чагыштырма өлеше, процентлар</w:t>
            </w: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6,7</w:t>
            </w:r>
          </w:p>
        </w:tc>
        <w:tc>
          <w:tcPr>
            <w:tcW w:w="158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6,6</w:t>
            </w:r>
          </w:p>
        </w:tc>
        <w:tc>
          <w:tcPr>
            <w:tcW w:w="141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6,5</w:t>
            </w:r>
          </w:p>
        </w:tc>
        <w:tc>
          <w:tcPr>
            <w:tcW w:w="1701"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6,4</w:t>
            </w:r>
          </w:p>
        </w:tc>
      </w:tr>
      <w:tr w:rsidR="00AA032C" w:rsidRPr="00AA032C" w:rsidTr="00AA032C">
        <w:tc>
          <w:tcPr>
            <w:tcW w:w="5180"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keepNext/>
              <w:suppressAutoHyphens/>
              <w:spacing w:after="160" w:line="256" w:lineRule="auto"/>
              <w:outlineLvl w:val="1"/>
              <w:rPr>
                <w:sz w:val="24"/>
                <w:szCs w:val="24"/>
              </w:rPr>
            </w:pPr>
            <w:r w:rsidRPr="00AA032C">
              <w:rPr>
                <w:sz w:val="24"/>
                <w:szCs w:val="24"/>
              </w:rPr>
              <w:t>4. Урамнарда хокук тәртибен тәэмин итү</w:t>
            </w:r>
          </w:p>
        </w:tc>
        <w:tc>
          <w:tcPr>
            <w:tcW w:w="382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rPr>
                <w:sz w:val="24"/>
                <w:szCs w:val="24"/>
              </w:rPr>
            </w:pPr>
            <w:r w:rsidRPr="00AA032C">
              <w:rPr>
                <w:sz w:val="24"/>
                <w:szCs w:val="24"/>
              </w:rPr>
              <w:t>урамнарда кылынган теркәлгәннәрнең гомуми санында җинаятьләрнең чагыштырма күләме</w:t>
            </w:r>
          </w:p>
        </w:tc>
        <w:tc>
          <w:tcPr>
            <w:tcW w:w="141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5</w:t>
            </w:r>
          </w:p>
        </w:tc>
        <w:tc>
          <w:tcPr>
            <w:tcW w:w="1588"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4,9</w:t>
            </w:r>
          </w:p>
        </w:tc>
        <w:tc>
          <w:tcPr>
            <w:tcW w:w="1417"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4,8</w:t>
            </w:r>
          </w:p>
        </w:tc>
        <w:tc>
          <w:tcPr>
            <w:tcW w:w="1701" w:type="dxa"/>
            <w:tcBorders>
              <w:top w:val="single" w:sz="4" w:space="0" w:color="auto"/>
              <w:left w:val="single" w:sz="4" w:space="0" w:color="auto"/>
              <w:bottom w:val="single" w:sz="4" w:space="0" w:color="auto"/>
              <w:right w:val="single" w:sz="4" w:space="0" w:color="auto"/>
            </w:tcBorders>
            <w:hideMark/>
          </w:tcPr>
          <w:p w:rsidR="00AA032C" w:rsidRPr="00AA032C" w:rsidRDefault="00AA032C" w:rsidP="00AA032C">
            <w:pPr>
              <w:spacing w:after="160" w:line="256" w:lineRule="auto"/>
              <w:jc w:val="center"/>
              <w:rPr>
                <w:sz w:val="24"/>
                <w:szCs w:val="24"/>
              </w:rPr>
            </w:pPr>
            <w:r w:rsidRPr="00AA032C">
              <w:rPr>
                <w:sz w:val="24"/>
                <w:szCs w:val="24"/>
              </w:rPr>
              <w:t>4,7</w:t>
            </w:r>
          </w:p>
        </w:tc>
      </w:tr>
    </w:tbl>
    <w:p w:rsidR="00AA032C" w:rsidRPr="00AA032C" w:rsidRDefault="00AA032C" w:rsidP="00AA032C">
      <w:pPr>
        <w:spacing w:after="160" w:line="256" w:lineRule="auto"/>
        <w:rPr>
          <w:sz w:val="28"/>
          <w:szCs w:val="28"/>
        </w:rPr>
      </w:pPr>
    </w:p>
    <w:p w:rsidR="00AA032C" w:rsidRPr="00AA032C" w:rsidRDefault="00AA032C" w:rsidP="00AA032C">
      <w:pPr>
        <w:spacing w:after="160" w:line="256" w:lineRule="auto"/>
        <w:rPr>
          <w:sz w:val="28"/>
          <w:szCs w:val="28"/>
        </w:rPr>
      </w:pPr>
    </w:p>
    <w:p w:rsidR="00AA032C" w:rsidRPr="00AA032C" w:rsidRDefault="00AA032C" w:rsidP="00AA032C">
      <w:pPr>
        <w:spacing w:after="160" w:line="256" w:lineRule="auto"/>
        <w:rPr>
          <w:sz w:val="28"/>
          <w:szCs w:val="28"/>
        </w:rPr>
      </w:pPr>
    </w:p>
    <w:p w:rsidR="00AA032C" w:rsidRPr="00AA032C" w:rsidRDefault="00AA032C" w:rsidP="00AA032C">
      <w:pPr>
        <w:widowControl w:val="0"/>
        <w:autoSpaceDE w:val="0"/>
        <w:autoSpaceDN w:val="0"/>
        <w:adjustRightInd w:val="0"/>
        <w:rPr>
          <w:sz w:val="28"/>
          <w:szCs w:val="28"/>
        </w:rPr>
      </w:pPr>
    </w:p>
    <w:p w:rsidR="00F64D59" w:rsidRPr="00F64D59" w:rsidRDefault="00F64D59" w:rsidP="00F64D59">
      <w:pPr>
        <w:shd w:val="clear" w:color="auto" w:fill="FFFFFF"/>
        <w:tabs>
          <w:tab w:val="left" w:pos="9780"/>
        </w:tabs>
        <w:spacing w:after="211" w:line="326" w:lineRule="exact"/>
        <w:ind w:right="-1"/>
        <w:jc w:val="both"/>
        <w:rPr>
          <w:rFonts w:ascii="Arial" w:hAnsi="Arial" w:cs="Arial"/>
        </w:rPr>
      </w:pPr>
      <w:r w:rsidRPr="00F64D59">
        <w:rPr>
          <w:sz w:val="28"/>
          <w:szCs w:val="28"/>
        </w:rPr>
        <w:tab/>
      </w:r>
      <w:r w:rsidRPr="00F64D59">
        <w:rPr>
          <w:sz w:val="28"/>
          <w:szCs w:val="28"/>
        </w:rPr>
        <w:tab/>
      </w:r>
    </w:p>
    <w:sectPr w:rsidR="00F64D59" w:rsidRPr="00F64D59" w:rsidSect="00AA032C">
      <w:pgSz w:w="16840" w:h="11900" w:orient="landscape"/>
      <w:pgMar w:top="420" w:right="851" w:bottom="1276" w:left="1134"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7E" w:rsidRDefault="00AB4C7E">
      <w:r>
        <w:separator/>
      </w:r>
    </w:p>
  </w:endnote>
  <w:endnote w:type="continuationSeparator" w:id="0">
    <w:p w:rsidR="00AB4C7E" w:rsidRDefault="00AB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7E" w:rsidRDefault="00AB4C7E">
      <w:r>
        <w:separator/>
      </w:r>
    </w:p>
  </w:footnote>
  <w:footnote w:type="continuationSeparator" w:id="0">
    <w:p w:rsidR="00AB4C7E" w:rsidRDefault="00AB4C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37C470F"/>
    <w:multiLevelType w:val="hybridMultilevel"/>
    <w:tmpl w:val="577CC61E"/>
    <w:lvl w:ilvl="0" w:tplc="43B4CEC0">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1"/>
  </w:num>
  <w:num w:numId="2">
    <w:abstractNumId w:val="4"/>
  </w:num>
  <w:num w:numId="3">
    <w:abstractNumId w:val="16"/>
  </w:num>
  <w:num w:numId="4">
    <w:abstractNumId w:val="17"/>
  </w:num>
  <w:num w:numId="5">
    <w:abstractNumId w:val="12"/>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563AB"/>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032C"/>
    <w:rsid w:val="00AA6D11"/>
    <w:rsid w:val="00AA7818"/>
    <w:rsid w:val="00AB114F"/>
    <w:rsid w:val="00AB3B80"/>
    <w:rsid w:val="00AB4C7E"/>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EF54A1"/>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FDF6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46454432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24D1AE-2C13-4FBB-A34A-2CAB1863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2025-07-31T13:21:00Z</cp:lastPrinted>
  <dcterms:created xsi:type="dcterms:W3CDTF">2025-07-31T13:22:00Z</dcterms:created>
  <dcterms:modified xsi:type="dcterms:W3CDTF">2025-08-01T07:16:00Z</dcterms:modified>
</cp:coreProperties>
</file>