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086702" w:rsidP="00107FC2">
            <w:pPr>
              <w:rPr>
                <w:sz w:val="28"/>
              </w:rPr>
            </w:pPr>
            <w:r>
              <w:rPr>
                <w:sz w:val="28"/>
              </w:rPr>
              <w:t>№ 448</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086702" w:rsidP="00107FC2">
            <w:pPr>
              <w:rPr>
                <w:sz w:val="28"/>
              </w:rPr>
            </w:pPr>
            <w:r>
              <w:rPr>
                <w:sz w:val="28"/>
              </w:rPr>
              <w:t xml:space="preserve">от « 11»     12      </w:t>
            </w:r>
            <w:bookmarkStart w:id="0" w:name="_GoBack"/>
            <w:bookmarkEnd w:id="0"/>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FC3DA0" w:rsidRDefault="00FC3DA0" w:rsidP="00FC3DA0">
      <w:pPr>
        <w:pStyle w:val="HEADERTEXT0"/>
        <w:ind w:right="3827"/>
        <w:outlineLvl w:val="0"/>
        <w:rPr>
          <w:rFonts w:ascii="Times New Roman" w:hAnsi="Times New Roman" w:cs="Times New Roman"/>
          <w:bCs/>
          <w:color w:val="auto"/>
          <w:sz w:val="26"/>
          <w:szCs w:val="26"/>
        </w:rPr>
      </w:pPr>
    </w:p>
    <w:p w:rsidR="00517E68" w:rsidRPr="00517E68" w:rsidRDefault="00517E68" w:rsidP="00517E68">
      <w:pPr>
        <w:widowControl w:val="0"/>
        <w:autoSpaceDE w:val="0"/>
        <w:autoSpaceDN w:val="0"/>
        <w:adjustRightInd w:val="0"/>
        <w:ind w:right="4670"/>
        <w:outlineLvl w:val="0"/>
        <w:rPr>
          <w:bCs/>
          <w:sz w:val="28"/>
          <w:szCs w:val="28"/>
        </w:rPr>
      </w:pPr>
      <w:r w:rsidRPr="00517E68">
        <w:rPr>
          <w:bCs/>
          <w:sz w:val="28"/>
          <w:szCs w:val="28"/>
        </w:rPr>
        <w:t>Татарстан Республикасы Мамадыш муниципаль районы Башкарма комитетының 2023 елның 30 гыйнварындагы</w:t>
      </w:r>
      <w:r w:rsidRPr="00517E68">
        <w:rPr>
          <w:bCs/>
          <w:sz w:val="28"/>
          <w:szCs w:val="28"/>
          <w:lang w:val="tt-RU"/>
        </w:rPr>
        <w:t xml:space="preserve"> 22 номерлы</w:t>
      </w:r>
    </w:p>
    <w:p w:rsidR="00517E68" w:rsidRDefault="00517E68" w:rsidP="00517E68">
      <w:pPr>
        <w:widowControl w:val="0"/>
        <w:autoSpaceDE w:val="0"/>
        <w:autoSpaceDN w:val="0"/>
        <w:adjustRightInd w:val="0"/>
        <w:ind w:right="4670"/>
        <w:outlineLvl w:val="0"/>
        <w:rPr>
          <w:bCs/>
          <w:sz w:val="28"/>
          <w:szCs w:val="28"/>
          <w:lang w:val="tt-RU"/>
        </w:rPr>
      </w:pPr>
      <w:r w:rsidRPr="00517E68">
        <w:rPr>
          <w:bCs/>
          <w:sz w:val="28"/>
          <w:szCs w:val="28"/>
          <w:lang w:val="tt-RU"/>
        </w:rPr>
        <w:t xml:space="preserve">карарына үзгәрешләр кертү турында </w:t>
      </w:r>
    </w:p>
    <w:p w:rsidR="00517E68" w:rsidRPr="00517E68" w:rsidRDefault="00517E68" w:rsidP="00517E68">
      <w:pPr>
        <w:widowControl w:val="0"/>
        <w:autoSpaceDE w:val="0"/>
        <w:autoSpaceDN w:val="0"/>
        <w:adjustRightInd w:val="0"/>
        <w:ind w:right="4670"/>
        <w:outlineLvl w:val="0"/>
        <w:rPr>
          <w:bCs/>
          <w:sz w:val="28"/>
          <w:szCs w:val="28"/>
          <w:lang w:val="tt-RU"/>
        </w:rPr>
      </w:pPr>
    </w:p>
    <w:p w:rsidR="00517E68" w:rsidRDefault="00517E68" w:rsidP="00517E68">
      <w:pPr>
        <w:ind w:firstLine="480"/>
        <w:jc w:val="both"/>
        <w:rPr>
          <w:sz w:val="28"/>
          <w:szCs w:val="28"/>
          <w:lang w:val="tt-RU"/>
        </w:rPr>
      </w:pPr>
      <w:r w:rsidRPr="00517E68">
        <w:rPr>
          <w:sz w:val="28"/>
          <w:szCs w:val="28"/>
          <w:lang w:val="tt-RU"/>
        </w:rPr>
        <w:t xml:space="preserve">«Халыкны һәм территорияләрне табигый һәм техноген характердагы гадәттән тыш хәлләрдән саклау турында»  1994 елның 21 декабрендәге №68-ФЗ, «Гражданнар оборонасы турында» 1998 елның 12 февралендәге 28-ФЗ номерлы федераль законнарга таянып, Россия Федерациясе Хөкүмәтенең «Гадәттән тыш хәлләрне бетерүне кисәтүнең бердәм дәүләт системасы турында» 2003 елның 30 декабрендәге 794 номерлы карары белән расланган Гадәттән тыш хәлләрне кисәтүнең һәм бетерүнең бердәм дәүләт системасы турында нигезләмә нигезендә, Мамадыш муниципаль районының гадәттән тыш хәлләрне кисәтү һәм бетерү буенча бердәм дәүләт системасы территориаль системасының муниципаль звеносы белән көн саен идарә итүне тәэмин итү максатларында, Татарстан Республикасы Мамадыш муниципаль районының  башкарма комитеты  </w:t>
      </w:r>
    </w:p>
    <w:p w:rsidR="00517E68" w:rsidRPr="00517E68" w:rsidRDefault="00517E68" w:rsidP="00517E68">
      <w:pPr>
        <w:ind w:firstLine="480"/>
        <w:jc w:val="both"/>
        <w:rPr>
          <w:sz w:val="28"/>
          <w:szCs w:val="28"/>
          <w:lang w:val="tt-RU"/>
        </w:rPr>
      </w:pPr>
      <w:r>
        <w:rPr>
          <w:sz w:val="28"/>
          <w:szCs w:val="28"/>
          <w:lang w:val="tt-RU"/>
        </w:rPr>
        <w:t xml:space="preserve">  </w:t>
      </w:r>
      <w:r w:rsidRPr="00517E68">
        <w:rPr>
          <w:sz w:val="28"/>
          <w:szCs w:val="28"/>
          <w:lang w:val="tt-RU"/>
        </w:rPr>
        <w:t>к а р а р  б и р ә:</w:t>
      </w:r>
    </w:p>
    <w:p w:rsidR="00517E68" w:rsidRPr="00517E68" w:rsidRDefault="00517E68" w:rsidP="00517E68">
      <w:pPr>
        <w:shd w:val="clear" w:color="auto" w:fill="FFFFFF"/>
        <w:jc w:val="both"/>
        <w:textAlignment w:val="baseline"/>
        <w:rPr>
          <w:rFonts w:ascii="Calibri" w:hAnsi="Calibri"/>
          <w:sz w:val="28"/>
          <w:szCs w:val="28"/>
          <w:lang w:val="tt-RU"/>
        </w:rPr>
      </w:pPr>
      <w:r w:rsidRPr="00517E68">
        <w:rPr>
          <w:sz w:val="28"/>
          <w:szCs w:val="28"/>
          <w:lang w:val="tt-RU"/>
        </w:rPr>
        <w:t xml:space="preserve">         1.</w:t>
      </w:r>
      <w:r w:rsidRPr="00517E68">
        <w:rPr>
          <w:rFonts w:ascii="Calibri" w:hAnsi="Calibri"/>
          <w:sz w:val="28"/>
          <w:szCs w:val="28"/>
          <w:lang w:val="tt-RU"/>
        </w:rPr>
        <w:t xml:space="preserve"> </w:t>
      </w:r>
      <w:r w:rsidRPr="00517E68">
        <w:rPr>
          <w:sz w:val="28"/>
          <w:szCs w:val="28"/>
          <w:lang w:val="tt-RU"/>
        </w:rPr>
        <w:t xml:space="preserve"> Татарстан Республикасы Мамадыш муниципаль районы Башкарма комитетының 2023 елның 30 гыйнварындагы “Татарстан Республикасы Мамадыш муниципаль районының бердәм дежур-диспетчерлык хезмәте торышы турында” 22 номерлы карарына (алга таба - Карар) түбәндәге үзгәрешләрне кертергә:</w:t>
      </w:r>
      <w:r w:rsidRPr="00517E68">
        <w:rPr>
          <w:rFonts w:ascii="Calibri" w:hAnsi="Calibri"/>
          <w:sz w:val="28"/>
          <w:szCs w:val="28"/>
          <w:lang w:val="tt-RU"/>
        </w:rPr>
        <w:t xml:space="preserve"> </w:t>
      </w:r>
    </w:p>
    <w:p w:rsidR="00517E68" w:rsidRPr="00517E68" w:rsidRDefault="00517E68" w:rsidP="00517E68">
      <w:pPr>
        <w:ind w:firstLine="568"/>
        <w:jc w:val="both"/>
        <w:rPr>
          <w:sz w:val="28"/>
          <w:szCs w:val="28"/>
          <w:lang w:val="tt-RU"/>
        </w:rPr>
      </w:pPr>
      <w:r w:rsidRPr="00517E68">
        <w:rPr>
          <w:sz w:val="28"/>
          <w:szCs w:val="28"/>
          <w:lang w:val="tt-RU"/>
        </w:rPr>
        <w:t>1.1. Карарның 1.2 пунктындагы 8 абзацында «табигый һәм техноген характердагы» сүзләрен төшереп калдырырга.</w:t>
      </w:r>
    </w:p>
    <w:p w:rsidR="00517E68" w:rsidRPr="00517E68" w:rsidRDefault="00517E68" w:rsidP="00517E68">
      <w:pPr>
        <w:ind w:firstLine="568"/>
        <w:jc w:val="both"/>
        <w:rPr>
          <w:sz w:val="28"/>
          <w:szCs w:val="28"/>
          <w:lang w:val="tt-RU"/>
        </w:rPr>
      </w:pPr>
      <w:r>
        <w:rPr>
          <w:sz w:val="28"/>
          <w:szCs w:val="28"/>
          <w:lang w:val="tt-RU"/>
        </w:rPr>
        <w:t xml:space="preserve"> </w:t>
      </w:r>
      <w:r w:rsidRPr="00517E68">
        <w:rPr>
          <w:sz w:val="28"/>
          <w:szCs w:val="28"/>
          <w:lang w:val="tt-RU"/>
        </w:rPr>
        <w:t xml:space="preserve">2. 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җиткерергә. </w:t>
      </w:r>
    </w:p>
    <w:p w:rsidR="00517E68" w:rsidRPr="00517E68" w:rsidRDefault="00517E68" w:rsidP="00517E68">
      <w:pPr>
        <w:widowControl w:val="0"/>
        <w:autoSpaceDE w:val="0"/>
        <w:autoSpaceDN w:val="0"/>
        <w:adjustRightInd w:val="0"/>
        <w:ind w:firstLine="568"/>
        <w:jc w:val="both"/>
        <w:rPr>
          <w:sz w:val="28"/>
          <w:szCs w:val="28"/>
          <w:lang w:val="tt-RU"/>
        </w:rPr>
      </w:pPr>
      <w:r>
        <w:rPr>
          <w:sz w:val="28"/>
          <w:szCs w:val="28"/>
          <w:lang w:val="tt-RU"/>
        </w:rPr>
        <w:t xml:space="preserve"> 3</w:t>
      </w:r>
      <w:r w:rsidRPr="00517E68">
        <w:rPr>
          <w:sz w:val="28"/>
          <w:szCs w:val="28"/>
          <w:lang w:val="tt-RU"/>
        </w:rPr>
        <w:t>. Әлеге карарның үтәлешен</w:t>
      </w:r>
      <w:r w:rsidRPr="00517E68">
        <w:rPr>
          <w:rFonts w:ascii="Arial" w:hAnsi="Arial" w:cs="Arial"/>
          <w:lang w:val="tt-RU"/>
        </w:rPr>
        <w:t xml:space="preserve"> </w:t>
      </w:r>
      <w:r w:rsidRPr="00517E68">
        <w:rPr>
          <w:sz w:val="28"/>
          <w:szCs w:val="28"/>
          <w:lang w:val="tt-RU"/>
        </w:rPr>
        <w:t xml:space="preserve">контрольдә тотуны Мамадыш муниципаль районы Башкарма комитеты җитәкчесе урынбасары Р. М. Никифоровка йөкләргә. </w:t>
      </w:r>
    </w:p>
    <w:p w:rsidR="00517E68" w:rsidRPr="00517E68" w:rsidRDefault="00517E68" w:rsidP="00517E68">
      <w:pPr>
        <w:widowControl w:val="0"/>
        <w:autoSpaceDE w:val="0"/>
        <w:autoSpaceDN w:val="0"/>
        <w:adjustRightInd w:val="0"/>
        <w:ind w:firstLine="568"/>
        <w:jc w:val="both"/>
        <w:rPr>
          <w:sz w:val="28"/>
          <w:szCs w:val="28"/>
          <w:lang w:val="tt-RU"/>
        </w:rPr>
      </w:pPr>
    </w:p>
    <w:p w:rsidR="00517E68" w:rsidRPr="00517E68" w:rsidRDefault="00517E68" w:rsidP="00517E68">
      <w:pPr>
        <w:widowControl w:val="0"/>
        <w:autoSpaceDE w:val="0"/>
        <w:autoSpaceDN w:val="0"/>
        <w:adjustRightInd w:val="0"/>
        <w:jc w:val="both"/>
        <w:rPr>
          <w:sz w:val="28"/>
          <w:szCs w:val="28"/>
          <w:lang w:val="tt-RU"/>
        </w:rPr>
      </w:pPr>
    </w:p>
    <w:p w:rsidR="00517E68" w:rsidRPr="00FC3DA0" w:rsidRDefault="00517E68" w:rsidP="00517E68">
      <w:pPr>
        <w:pStyle w:val="HEADERTEXT0"/>
        <w:ind w:right="134"/>
        <w:outlineLvl w:val="0"/>
        <w:rPr>
          <w:rFonts w:ascii="Times New Roman" w:hAnsi="Times New Roman" w:cs="Times New Roman"/>
          <w:bCs/>
          <w:color w:val="auto"/>
          <w:sz w:val="26"/>
          <w:szCs w:val="26"/>
        </w:rPr>
      </w:pPr>
      <w:r w:rsidRPr="00517E68">
        <w:rPr>
          <w:rFonts w:ascii="Times New Roman" w:hAnsi="Times New Roman" w:cs="Times New Roman"/>
          <w:color w:val="auto"/>
          <w:sz w:val="28"/>
          <w:szCs w:val="28"/>
          <w:lang w:val="tt-RU"/>
        </w:rPr>
        <w:t>     Җитәкче</w:t>
      </w:r>
      <w:r w:rsidRPr="00517E68">
        <w:rPr>
          <w:rFonts w:ascii="Times New Roman" w:hAnsi="Times New Roman" w:cs="Times New Roman"/>
          <w:color w:val="auto"/>
          <w:sz w:val="28"/>
          <w:szCs w:val="28"/>
        </w:rPr>
        <w:tab/>
      </w:r>
      <w:r w:rsidRPr="00517E68">
        <w:rPr>
          <w:rFonts w:ascii="Times New Roman" w:hAnsi="Times New Roman" w:cs="Times New Roman"/>
          <w:color w:val="auto"/>
          <w:sz w:val="28"/>
          <w:szCs w:val="28"/>
        </w:rPr>
        <w:tab/>
      </w:r>
      <w:r w:rsidRPr="00517E68">
        <w:rPr>
          <w:rFonts w:ascii="Times New Roman" w:hAnsi="Times New Roman" w:cs="Times New Roman"/>
          <w:color w:val="auto"/>
          <w:sz w:val="28"/>
          <w:szCs w:val="28"/>
        </w:rPr>
        <w:tab/>
      </w:r>
      <w:r w:rsidRPr="00517E68">
        <w:rPr>
          <w:rFonts w:ascii="Times New Roman" w:hAnsi="Times New Roman" w:cs="Times New Roman"/>
          <w:color w:val="auto"/>
          <w:sz w:val="28"/>
          <w:szCs w:val="28"/>
        </w:rPr>
        <w:tab/>
      </w:r>
      <w:r w:rsidRPr="00517E68">
        <w:rPr>
          <w:rFonts w:ascii="Times New Roman" w:hAnsi="Times New Roman" w:cs="Times New Roman"/>
          <w:color w:val="auto"/>
          <w:sz w:val="28"/>
          <w:szCs w:val="28"/>
        </w:rPr>
        <w:tab/>
      </w:r>
      <w:r w:rsidRPr="00517E68">
        <w:rPr>
          <w:rFonts w:ascii="Times New Roman" w:hAnsi="Times New Roman" w:cs="Times New Roman"/>
          <w:color w:val="auto"/>
          <w:sz w:val="28"/>
          <w:szCs w:val="28"/>
        </w:rPr>
        <w:tab/>
      </w:r>
      <w:r w:rsidRPr="00517E68">
        <w:rPr>
          <w:rFonts w:ascii="Times New Roman" w:hAnsi="Times New Roman" w:cs="Times New Roman"/>
          <w:color w:val="auto"/>
          <w:sz w:val="28"/>
          <w:szCs w:val="28"/>
        </w:rPr>
        <w:tab/>
      </w:r>
      <w:r>
        <w:rPr>
          <w:rFonts w:ascii="Times New Roman" w:hAnsi="Times New Roman" w:cs="Times New Roman"/>
          <w:color w:val="auto"/>
          <w:sz w:val="28"/>
          <w:szCs w:val="28"/>
        </w:rPr>
        <w:t xml:space="preserve">                                       Р.М.</w:t>
      </w:r>
      <w:r w:rsidRPr="00517E68">
        <w:rPr>
          <w:rFonts w:ascii="Times New Roman" w:hAnsi="Times New Roman" w:cs="Times New Roman"/>
          <w:color w:val="auto"/>
          <w:sz w:val="28"/>
          <w:szCs w:val="28"/>
        </w:rPr>
        <w:t>Гарипов</w:t>
      </w:r>
    </w:p>
    <w:sectPr w:rsidR="00517E68" w:rsidRPr="00FC3DA0" w:rsidSect="00F8379E">
      <w:pgSz w:w="11900" w:h="16840"/>
      <w:pgMar w:top="1134" w:right="567" w:bottom="851"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D7" w:rsidRDefault="00340AD7">
      <w:r>
        <w:separator/>
      </w:r>
    </w:p>
  </w:endnote>
  <w:endnote w:type="continuationSeparator" w:id="0">
    <w:p w:rsidR="00340AD7" w:rsidRDefault="0034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D7" w:rsidRDefault="00340AD7">
      <w:r>
        <w:separator/>
      </w:r>
    </w:p>
  </w:footnote>
  <w:footnote w:type="continuationSeparator" w:id="0">
    <w:p w:rsidR="00340AD7" w:rsidRDefault="00340A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86702"/>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40AD7"/>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17E68"/>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2BD8"/>
    <w:rsid w:val="005F51F4"/>
    <w:rsid w:val="005F5AD1"/>
    <w:rsid w:val="005F7E8D"/>
    <w:rsid w:val="00606A63"/>
    <w:rsid w:val="00611A3A"/>
    <w:rsid w:val="006120AF"/>
    <w:rsid w:val="0061308F"/>
    <w:rsid w:val="00622E5A"/>
    <w:rsid w:val="0063557B"/>
    <w:rsid w:val="00635D42"/>
    <w:rsid w:val="006407D5"/>
    <w:rsid w:val="006409D1"/>
    <w:rsid w:val="00663A97"/>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2BEF5"/>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FF6AB0-9335-4F89-B7AE-A1353543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5</cp:revision>
  <cp:lastPrinted>2024-12-09T13:43:00Z</cp:lastPrinted>
  <dcterms:created xsi:type="dcterms:W3CDTF">2024-12-09T13:43:00Z</dcterms:created>
  <dcterms:modified xsi:type="dcterms:W3CDTF">2024-12-11T11:15:00Z</dcterms:modified>
</cp:coreProperties>
</file>