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455EC4">
              <w:rPr>
                <w:sz w:val="28"/>
              </w:rPr>
              <w:t xml:space="preserve"> 109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455EC4" w:rsidP="00107FC2">
            <w:pPr>
              <w:rPr>
                <w:sz w:val="28"/>
              </w:rPr>
            </w:pPr>
            <w:r>
              <w:rPr>
                <w:sz w:val="28"/>
              </w:rPr>
              <w:t xml:space="preserve">от «14»             03            </w:t>
            </w:r>
            <w:r w:rsidR="00023909">
              <w:rPr>
                <w:sz w:val="28"/>
              </w:rPr>
              <w:t>202</w:t>
            </w:r>
            <w:r w:rsidR="00B220D6">
              <w:rPr>
                <w:sz w:val="28"/>
              </w:rPr>
              <w:t>4</w:t>
            </w:r>
            <w:r w:rsidR="00BF431B">
              <w:rPr>
                <w:sz w:val="28"/>
              </w:rPr>
              <w:t xml:space="preserve"> г.</w:t>
            </w:r>
          </w:p>
        </w:tc>
        <w:tc>
          <w:tcPr>
            <w:tcW w:w="850" w:type="dxa"/>
          </w:tcPr>
          <w:p w:rsidR="00606A63" w:rsidRPr="00BF431B" w:rsidRDefault="00606A63">
            <w:pPr>
              <w:rPr>
                <w:sz w:val="28"/>
              </w:rPr>
            </w:pPr>
          </w:p>
        </w:tc>
      </w:tr>
    </w:tbl>
    <w:p w:rsidR="00E96F7E" w:rsidRDefault="00E96F7E" w:rsidP="007D092A">
      <w:pPr>
        <w:jc w:val="both"/>
        <w:rPr>
          <w:b/>
          <w:sz w:val="28"/>
          <w:szCs w:val="28"/>
        </w:rPr>
      </w:pPr>
    </w:p>
    <w:p w:rsidR="007D092A" w:rsidRDefault="007D092A" w:rsidP="007D092A">
      <w:pPr>
        <w:jc w:val="both"/>
        <w:rPr>
          <w:b/>
          <w:sz w:val="28"/>
          <w:szCs w:val="28"/>
        </w:rPr>
      </w:pPr>
    </w:p>
    <w:p w:rsidR="00B11004" w:rsidRDefault="00B11004" w:rsidP="00B11004">
      <w:pPr>
        <w:spacing w:after="160" w:line="256" w:lineRule="auto"/>
        <w:ind w:right="4677"/>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Җирле әһәмияттәге аеруча саклана торган табигый территорияләрне саклау һәм куллану өлкәсендә муниципаль контроль өчен төп күрсәткечләрне һәм аларның максатчан кыйммәтләрен, индикатив күрсәткечләрне раслау турында</w:t>
      </w:r>
    </w:p>
    <w:p w:rsidR="00B11004" w:rsidRPr="00B11004" w:rsidRDefault="00B11004" w:rsidP="00B11004">
      <w:pPr>
        <w:spacing w:after="160" w:line="256" w:lineRule="auto"/>
        <w:ind w:right="4677"/>
        <w:rPr>
          <w:rFonts w:ascii="PT Astra Serif" w:eastAsia="Calibri" w:hAnsi="PT Astra Serif" w:cs="PT Astra Serif"/>
          <w:sz w:val="28"/>
          <w:szCs w:val="28"/>
          <w:lang w:eastAsia="en-US"/>
        </w:rPr>
      </w:pPr>
    </w:p>
    <w:p w:rsidR="00B11004" w:rsidRDefault="00B11004" w:rsidP="00B11004">
      <w:pPr>
        <w:ind w:firstLine="708"/>
        <w:jc w:val="both"/>
        <w:rPr>
          <w:rFonts w:ascii="PT Astra Serif" w:eastAsia="PT Astra Serif" w:hAnsi="PT Astra Serif" w:cs="PT Astra Serif"/>
          <w:sz w:val="28"/>
          <w:szCs w:val="28"/>
          <w:lang w:eastAsia="en-US"/>
        </w:rPr>
      </w:pPr>
      <w:r w:rsidRPr="00B11004">
        <w:rPr>
          <w:rFonts w:ascii="PT Astra Serif" w:eastAsia="PT Astra Serif" w:hAnsi="PT Astra Serif" w:cs="PT Astra Serif"/>
          <w:sz w:val="28"/>
          <w:szCs w:val="28"/>
          <w:lang w:eastAsia="en-US"/>
        </w:rPr>
        <w:t xml:space="preserve">«Аеруча саклана торган табигый территорияләр турында» 1995 елның 14 мартындагы 33-ФЗ номерлы Федераль законның 33 статьясы, «Россия Федерациясендә дәүләт контроле (күзәтчелеге) һәм муниципаль контроль турында» 2020 елның 31 июлендәге 248-ФЗ номерлы Федераль закон, «Россия Федерациясендә җирле үзидарә оештыруның гомуми принциплары турында»2003 елның 6 октябрендәге 131-ФЗ номерлы Федераль закон нигезендә Татарстан Республикасы Мамадыш муниципаль районы Башкарма комитеты </w:t>
      </w:r>
    </w:p>
    <w:p w:rsidR="00B11004" w:rsidRPr="00B11004" w:rsidRDefault="00B11004" w:rsidP="00B11004">
      <w:pPr>
        <w:ind w:firstLine="708"/>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 xml:space="preserve">к а р а р  к а б у л   и т т е:  </w:t>
      </w:r>
    </w:p>
    <w:p w:rsidR="00B11004" w:rsidRPr="00B11004" w:rsidRDefault="00B11004" w:rsidP="00B11004">
      <w:pPr>
        <w:numPr>
          <w:ilvl w:val="0"/>
          <w:numId w:val="33"/>
        </w:numPr>
        <w:spacing w:after="160" w:line="256" w:lineRule="auto"/>
        <w:ind w:left="0" w:firstLine="633"/>
        <w:contextualSpacing/>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 xml:space="preserve">Татарстан Республикасы Мамадыш муниципаль районы чикләрендә җирле әһәмияттәге аеруча саклана торган табигый территорияләрне саклау һәм куллану өлкәсендә муниципаль контроль өчен төп күрсәткечләрне һәм аларның максатчан күрсәткечләрен, индикатив күрсәткечләрне кушымта нигезендә  расларга; </w:t>
      </w:r>
    </w:p>
    <w:p w:rsidR="00B11004" w:rsidRPr="00B11004" w:rsidRDefault="00B11004" w:rsidP="00B11004">
      <w:pPr>
        <w:numPr>
          <w:ilvl w:val="0"/>
          <w:numId w:val="33"/>
        </w:numPr>
        <w:spacing w:after="160" w:line="256" w:lineRule="auto"/>
        <w:ind w:left="0" w:firstLine="633"/>
        <w:contextualSpacing/>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Әлеге карарны Татарстан Республикасы Мамадыш муниципаль районының Интернет челтәрендә(http:/ mamadysh.tatarstan.ru) рәсми сайтында урнаштырырга  һәм Татарстан Республикасының хокукый мәгълүмат порталында бастырып чыгарырга (http://pravo.tatarstan.ru).</w:t>
      </w:r>
    </w:p>
    <w:p w:rsidR="00B11004" w:rsidRPr="00B11004" w:rsidRDefault="00B11004" w:rsidP="00B11004">
      <w:pPr>
        <w:numPr>
          <w:ilvl w:val="0"/>
          <w:numId w:val="33"/>
        </w:numPr>
        <w:spacing w:after="160" w:line="256" w:lineRule="auto"/>
        <w:ind w:left="0" w:firstLine="633"/>
        <w:contextualSpacing/>
        <w:jc w:val="both"/>
        <w:rPr>
          <w:rFonts w:ascii="PT Astra Serif" w:eastAsia="Calibri" w:hAnsi="PT Astra Serif" w:cs="PT Astra Serif"/>
          <w:sz w:val="22"/>
          <w:szCs w:val="22"/>
          <w:lang w:eastAsia="en-US"/>
        </w:rPr>
      </w:pPr>
      <w:r w:rsidRPr="00B11004">
        <w:rPr>
          <w:rFonts w:ascii="PT Astra Serif" w:eastAsia="PT Astra Serif" w:hAnsi="PT Astra Serif" w:cs="PT Astra Serif"/>
          <w:sz w:val="28"/>
          <w:szCs w:val="28"/>
          <w:lang w:eastAsia="en-US"/>
        </w:rPr>
        <w:t>Әлеге карарның үтәлеше буенча җаваплылыкны Мамадыш муниципаль районы Башкарма комитеты җитәкчесенең беренче урынбасары  А.Х.Әгъләмовка йөкләргә.</w:t>
      </w:r>
    </w:p>
    <w:p w:rsidR="00B11004" w:rsidRPr="00B11004" w:rsidRDefault="00B11004" w:rsidP="00B11004">
      <w:pPr>
        <w:ind w:left="633"/>
        <w:jc w:val="both"/>
        <w:rPr>
          <w:rFonts w:ascii="PT Astra Serif" w:eastAsia="Calibri" w:hAnsi="PT Astra Serif" w:cs="PT Astra Serif"/>
          <w:sz w:val="22"/>
          <w:szCs w:val="22"/>
          <w:lang w:eastAsia="en-US"/>
        </w:rPr>
      </w:pPr>
    </w:p>
    <w:p w:rsidR="00B11004" w:rsidRPr="00B11004" w:rsidRDefault="00B11004" w:rsidP="00B11004">
      <w:pPr>
        <w:jc w:val="both"/>
        <w:rPr>
          <w:rFonts w:ascii="PT Astra Serif" w:eastAsia="Calibri" w:hAnsi="PT Astra Serif" w:cs="PT Astra Serif"/>
          <w:sz w:val="28"/>
          <w:szCs w:val="28"/>
          <w:lang w:eastAsia="en-US"/>
        </w:rPr>
      </w:pPr>
    </w:p>
    <w:p w:rsidR="00B11004" w:rsidRPr="00B11004" w:rsidRDefault="00B11004" w:rsidP="00B11004">
      <w:pPr>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 xml:space="preserve">Җитәкче                                                                         </w:t>
      </w:r>
      <w:r>
        <w:rPr>
          <w:rFonts w:ascii="PT Astra Serif" w:eastAsia="PT Astra Serif" w:hAnsi="PT Astra Serif" w:cs="PT Astra Serif"/>
          <w:sz w:val="28"/>
          <w:szCs w:val="28"/>
          <w:lang w:eastAsia="en-US"/>
        </w:rPr>
        <w:t xml:space="preserve">                                   </w:t>
      </w:r>
      <w:r w:rsidRPr="00B11004">
        <w:rPr>
          <w:rFonts w:ascii="PT Astra Serif" w:eastAsia="PT Astra Serif" w:hAnsi="PT Astra Serif" w:cs="PT Astra Serif"/>
          <w:sz w:val="28"/>
          <w:szCs w:val="28"/>
          <w:lang w:eastAsia="en-US"/>
        </w:rPr>
        <w:t xml:space="preserve"> О.Н. Павлов</w:t>
      </w:r>
    </w:p>
    <w:p w:rsidR="00B11004" w:rsidRPr="00B11004" w:rsidRDefault="00B11004" w:rsidP="00B11004">
      <w:pPr>
        <w:jc w:val="both"/>
        <w:rPr>
          <w:rFonts w:ascii="PT Astra Serif" w:eastAsia="Calibri" w:hAnsi="PT Astra Serif" w:cs="PT Astra Serif"/>
          <w:sz w:val="28"/>
          <w:szCs w:val="28"/>
          <w:lang w:eastAsia="en-US"/>
        </w:rPr>
      </w:pPr>
    </w:p>
    <w:p w:rsidR="00B11004" w:rsidRPr="00B11004" w:rsidRDefault="00B11004" w:rsidP="00B11004">
      <w:pPr>
        <w:jc w:val="both"/>
        <w:rPr>
          <w:rFonts w:ascii="PT Astra Serif" w:eastAsia="Calibri" w:hAnsi="PT Astra Serif" w:cs="PT Astra Serif"/>
          <w:sz w:val="28"/>
          <w:szCs w:val="28"/>
          <w:lang w:eastAsia="en-US"/>
        </w:rPr>
      </w:pPr>
    </w:p>
    <w:p w:rsidR="00B11004" w:rsidRPr="00B11004" w:rsidRDefault="00B11004" w:rsidP="00B11004">
      <w:pPr>
        <w:jc w:val="both"/>
        <w:rPr>
          <w:rFonts w:ascii="PT Astra Serif" w:eastAsia="Calibri" w:hAnsi="PT Astra Serif" w:cs="PT Astra Serif"/>
          <w:sz w:val="28"/>
          <w:szCs w:val="28"/>
          <w:lang w:eastAsia="en-US"/>
        </w:rPr>
      </w:pPr>
    </w:p>
    <w:p w:rsidR="00B11004" w:rsidRPr="00B11004" w:rsidRDefault="00B11004" w:rsidP="00B11004">
      <w:pPr>
        <w:jc w:val="both"/>
        <w:rPr>
          <w:rFonts w:ascii="PT Astra Serif" w:eastAsia="Calibri" w:hAnsi="PT Astra Serif" w:cs="PT Astra Serif"/>
          <w:sz w:val="28"/>
          <w:szCs w:val="28"/>
          <w:lang w:eastAsia="en-US"/>
        </w:rPr>
      </w:pPr>
    </w:p>
    <w:p w:rsidR="00B11004" w:rsidRPr="00B11004" w:rsidRDefault="00B11004" w:rsidP="00B11004">
      <w:pPr>
        <w:jc w:val="both"/>
        <w:rPr>
          <w:rFonts w:ascii="PT Astra Serif" w:eastAsia="Calibri" w:hAnsi="PT Astra Serif" w:cs="PT Astra Serif"/>
          <w:sz w:val="28"/>
          <w:szCs w:val="28"/>
          <w:lang w:eastAsia="en-US"/>
        </w:rPr>
      </w:pPr>
    </w:p>
    <w:p w:rsidR="00B11004" w:rsidRDefault="00B11004" w:rsidP="00B11004">
      <w:pPr>
        <w:jc w:val="both"/>
        <w:rPr>
          <w:rFonts w:ascii="PT Astra Serif" w:eastAsia="Calibri" w:hAnsi="PT Astra Serif" w:cs="PT Astra Serif"/>
          <w:sz w:val="28"/>
          <w:szCs w:val="28"/>
          <w:lang w:eastAsia="en-US"/>
        </w:rPr>
      </w:pPr>
    </w:p>
    <w:tbl>
      <w:tblPr>
        <w:tblStyle w:val="ae"/>
        <w:tblW w:w="0" w:type="auto"/>
        <w:tblInd w:w="6232" w:type="dxa"/>
        <w:tblLook w:val="04A0" w:firstRow="1" w:lastRow="0" w:firstColumn="1" w:lastColumn="0" w:noHBand="0" w:noVBand="1"/>
      </w:tblPr>
      <w:tblGrid>
        <w:gridCol w:w="3964"/>
      </w:tblGrid>
      <w:tr w:rsidR="00B11004" w:rsidTr="00B11004">
        <w:tc>
          <w:tcPr>
            <w:tcW w:w="3964" w:type="dxa"/>
            <w:tcBorders>
              <w:top w:val="nil"/>
              <w:left w:val="nil"/>
              <w:bottom w:val="nil"/>
              <w:right w:val="nil"/>
            </w:tcBorders>
          </w:tcPr>
          <w:p w:rsidR="00B11004" w:rsidRPr="00B11004" w:rsidRDefault="00B11004" w:rsidP="00B11004">
            <w:pPr>
              <w:jc w:val="both"/>
              <w:rPr>
                <w:rFonts w:ascii="PT Astra Serif" w:eastAsia="Calibri" w:hAnsi="PT Astra Serif" w:cs="PT Astra Serif"/>
                <w:sz w:val="24"/>
                <w:szCs w:val="24"/>
                <w:lang w:eastAsia="en-US"/>
              </w:rPr>
            </w:pPr>
            <w:r w:rsidRPr="00B11004">
              <w:rPr>
                <w:rFonts w:ascii="PT Astra Serif" w:eastAsia="Calibri" w:hAnsi="PT Astra Serif" w:cs="PT Astra Serif"/>
                <w:sz w:val="24"/>
                <w:szCs w:val="24"/>
                <w:lang w:eastAsia="en-US"/>
              </w:rPr>
              <w:t>Мамадыш муниципаль районы</w:t>
            </w:r>
          </w:p>
          <w:p w:rsidR="00B11004" w:rsidRPr="00B11004" w:rsidRDefault="00B11004" w:rsidP="00B11004">
            <w:pPr>
              <w:jc w:val="both"/>
              <w:rPr>
                <w:rFonts w:ascii="PT Astra Serif" w:eastAsia="Calibri" w:hAnsi="PT Astra Serif" w:cs="PT Astra Serif"/>
                <w:sz w:val="24"/>
                <w:szCs w:val="24"/>
                <w:lang w:eastAsia="en-US"/>
              </w:rPr>
            </w:pPr>
            <w:r w:rsidRPr="00B11004">
              <w:rPr>
                <w:rFonts w:ascii="PT Astra Serif" w:eastAsia="Calibri" w:hAnsi="PT Astra Serif" w:cs="PT Astra Serif"/>
                <w:sz w:val="24"/>
                <w:szCs w:val="24"/>
                <w:lang w:eastAsia="en-US"/>
              </w:rPr>
              <w:t>Башкарма комитетының</w:t>
            </w:r>
            <w:r w:rsidRPr="00B11004">
              <w:rPr>
                <w:rFonts w:ascii="PT Astra Serif" w:eastAsia="Calibri" w:hAnsi="PT Astra Serif" w:cs="PT Astra Serif"/>
                <w:sz w:val="24"/>
                <w:szCs w:val="24"/>
                <w:lang w:eastAsia="en-US"/>
              </w:rPr>
              <w:br/>
            </w:r>
            <w:r w:rsidR="00455EC4">
              <w:rPr>
                <w:rFonts w:ascii="PT Astra Serif" w:eastAsia="Calibri" w:hAnsi="PT Astra Serif" w:cs="PT Astra Serif"/>
                <w:sz w:val="24"/>
                <w:szCs w:val="24"/>
                <w:lang w:eastAsia="en-US"/>
              </w:rPr>
              <w:t xml:space="preserve">14.03.2024 </w:t>
            </w:r>
            <w:r w:rsidRPr="00B11004">
              <w:rPr>
                <w:rFonts w:ascii="PT Astra Serif" w:eastAsia="Calibri" w:hAnsi="PT Astra Serif" w:cs="PT Astra Serif"/>
                <w:sz w:val="24"/>
                <w:szCs w:val="24"/>
                <w:lang w:eastAsia="en-US"/>
              </w:rPr>
              <w:t>ел,</w:t>
            </w:r>
            <w:r w:rsidR="00455EC4">
              <w:rPr>
                <w:rFonts w:ascii="PT Astra Serif" w:eastAsia="Calibri" w:hAnsi="PT Astra Serif" w:cs="PT Astra Serif"/>
                <w:sz w:val="24"/>
                <w:szCs w:val="24"/>
                <w:lang w:eastAsia="en-US"/>
              </w:rPr>
              <w:t xml:space="preserve"> </w:t>
            </w:r>
            <w:bookmarkStart w:id="0" w:name="_GoBack"/>
            <w:bookmarkEnd w:id="0"/>
            <w:r w:rsidRPr="00B11004">
              <w:rPr>
                <w:rFonts w:ascii="PT Astra Serif" w:eastAsia="Calibri" w:hAnsi="PT Astra Serif" w:cs="PT Astra Serif"/>
                <w:sz w:val="24"/>
                <w:szCs w:val="24"/>
                <w:lang w:eastAsia="en-US"/>
              </w:rPr>
              <w:t>№__</w:t>
            </w:r>
            <w:r w:rsidR="00455EC4">
              <w:rPr>
                <w:rFonts w:ascii="PT Astra Serif" w:eastAsia="Calibri" w:hAnsi="PT Astra Serif" w:cs="PT Astra Serif"/>
                <w:sz w:val="24"/>
                <w:szCs w:val="24"/>
                <w:lang w:eastAsia="en-US"/>
              </w:rPr>
              <w:t>109</w:t>
            </w:r>
            <w:r w:rsidRPr="00B11004">
              <w:rPr>
                <w:rFonts w:ascii="PT Astra Serif" w:eastAsia="Calibri" w:hAnsi="PT Astra Serif" w:cs="PT Astra Serif"/>
                <w:sz w:val="24"/>
                <w:szCs w:val="24"/>
                <w:lang w:eastAsia="en-US"/>
              </w:rPr>
              <w:t>_                                        карарына кушымта</w:t>
            </w:r>
          </w:p>
          <w:p w:rsidR="00B11004" w:rsidRDefault="00B11004" w:rsidP="00B11004">
            <w:pPr>
              <w:jc w:val="both"/>
              <w:rPr>
                <w:rFonts w:ascii="PT Astra Serif" w:eastAsia="Calibri" w:hAnsi="PT Astra Serif" w:cs="PT Astra Serif"/>
                <w:sz w:val="28"/>
                <w:szCs w:val="28"/>
                <w:lang w:eastAsia="en-US"/>
              </w:rPr>
            </w:pPr>
          </w:p>
        </w:tc>
      </w:tr>
    </w:tbl>
    <w:p w:rsidR="00B11004" w:rsidRDefault="00B11004" w:rsidP="00B11004">
      <w:pPr>
        <w:shd w:val="clear" w:color="auto" w:fill="FFFFFF"/>
        <w:spacing w:after="150"/>
        <w:rPr>
          <w:rFonts w:ascii="PT Astra Serif" w:eastAsia="Calibri" w:hAnsi="PT Astra Serif" w:cs="PT Astra Serif"/>
          <w:sz w:val="28"/>
          <w:szCs w:val="28"/>
          <w:lang w:eastAsia="en-US"/>
        </w:rPr>
      </w:pPr>
    </w:p>
    <w:p w:rsidR="00B11004" w:rsidRPr="00B11004" w:rsidRDefault="00B11004" w:rsidP="00B11004">
      <w:pPr>
        <w:shd w:val="clear" w:color="auto" w:fill="FFFFFF"/>
        <w:spacing w:after="150"/>
        <w:rPr>
          <w:rFonts w:ascii="PT Astra Serif" w:eastAsia="Calibri" w:hAnsi="PT Astra Serif" w:cs="PT Astra Serif"/>
          <w:sz w:val="28"/>
          <w:szCs w:val="28"/>
          <w:lang w:eastAsia="en-US"/>
        </w:rPr>
      </w:pPr>
    </w:p>
    <w:p w:rsidR="00B11004" w:rsidRPr="00B11004" w:rsidRDefault="00B11004" w:rsidP="00B11004">
      <w:pPr>
        <w:jc w:val="center"/>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Татарстан Республикасы Мамадыш муниципаль районы чикләрендә җирле әһәмияттәге аеруча саклана торган табигый территорияләрне саклау һәм куллану өлкәсендә муниципаль контроль өчен төп күрсәткечләре һәм аларның максатчан күрсәткечләре, индикатив күрсәткечләре</w:t>
      </w:r>
    </w:p>
    <w:p w:rsidR="00B11004" w:rsidRPr="00B11004" w:rsidRDefault="00B11004" w:rsidP="00B11004">
      <w:pPr>
        <w:jc w:val="center"/>
        <w:rPr>
          <w:rFonts w:ascii="PT Astra Serif" w:eastAsia="Calibri" w:hAnsi="PT Astra Serif" w:cs="PT Astra Serif"/>
          <w:sz w:val="28"/>
          <w:szCs w:val="28"/>
          <w:lang w:eastAsia="en-US"/>
        </w:rPr>
      </w:pPr>
    </w:p>
    <w:p w:rsidR="00B11004" w:rsidRPr="00B11004" w:rsidRDefault="00B11004" w:rsidP="00B11004">
      <w:pPr>
        <w:numPr>
          <w:ilvl w:val="0"/>
          <w:numId w:val="34"/>
        </w:numPr>
        <w:spacing w:after="160" w:line="256" w:lineRule="auto"/>
        <w:ind w:left="0" w:firstLine="0"/>
        <w:contextualSpacing/>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Төп күрсәткечләр һәм аларның максатчан кыйммәтләре:</w:t>
      </w:r>
    </w:p>
    <w:p w:rsidR="00B11004" w:rsidRPr="00B11004" w:rsidRDefault="00B11004" w:rsidP="00B11004">
      <w:pPr>
        <w:contextualSpacing/>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 xml:space="preserve"> Ачыкланган мәҗбүри таләпләр бозулары арасыннан төзәтелгән бозулар саны өлеше  - 70%;</w:t>
      </w:r>
    </w:p>
    <w:p w:rsidR="00B11004" w:rsidRPr="00B11004" w:rsidRDefault="00B11004" w:rsidP="00B11004">
      <w:pPr>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Чираттагы календарь елына планлы контроль чараларын үткәрү планын үтәү өлеше - 100%;</w:t>
      </w:r>
    </w:p>
    <w:p w:rsidR="00B11004" w:rsidRPr="00B11004" w:rsidRDefault="00B11004" w:rsidP="00B11004">
      <w:pPr>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Контроль чаралар үткәргәндә контроль органның һәм (яки) аның вазифаи затның гамәлләренә (эшсезлегенә) нигезләнгән шикаятьләр өлеше - 0%;</w:t>
      </w:r>
    </w:p>
    <w:p w:rsidR="00B11004" w:rsidRPr="00B11004" w:rsidRDefault="00B11004" w:rsidP="00B11004">
      <w:pPr>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 xml:space="preserve">Контроль чараларның гамәлдән чыгарылган нәтиҗәләре өлеше - 0%; </w:t>
      </w:r>
    </w:p>
    <w:p w:rsidR="00B11004" w:rsidRPr="00B11004" w:rsidRDefault="00B11004" w:rsidP="00B11004">
      <w:pPr>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Хокук бозулар ачыкланган, әмма тиешле административ йогынты чаралары күрелмәгән контроль чараларның өлеше - 5%;</w:t>
      </w:r>
    </w:p>
    <w:p w:rsidR="00B11004" w:rsidRPr="00B11004" w:rsidRDefault="00B11004" w:rsidP="00B11004">
      <w:pPr>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Контроль орган материаллары буенча административ җәза билгеләү турында чыгарылган суд карарларының өлеше - 95%.</w:t>
      </w:r>
    </w:p>
    <w:p w:rsidR="00B11004" w:rsidRPr="00B11004" w:rsidRDefault="00B11004" w:rsidP="00B11004">
      <w:pPr>
        <w:jc w:val="both"/>
        <w:rPr>
          <w:rFonts w:ascii="PT Astra Serif" w:eastAsia="Calibri" w:hAnsi="PT Astra Serif" w:cs="PT Astra Serif"/>
          <w:sz w:val="28"/>
          <w:szCs w:val="28"/>
          <w:lang w:eastAsia="en-US"/>
        </w:rPr>
      </w:pPr>
    </w:p>
    <w:p w:rsidR="00B11004" w:rsidRPr="00B11004" w:rsidRDefault="00B11004" w:rsidP="00B11004">
      <w:pPr>
        <w:numPr>
          <w:ilvl w:val="0"/>
          <w:numId w:val="34"/>
        </w:numPr>
        <w:spacing w:after="160" w:line="256" w:lineRule="auto"/>
        <w:contextualSpacing/>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Индикатив күрсәткечләр:</w:t>
      </w:r>
    </w:p>
    <w:p w:rsidR="00B11004" w:rsidRPr="00B11004" w:rsidRDefault="00B11004" w:rsidP="00B11004">
      <w:pPr>
        <w:ind w:firstLine="708"/>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Татарстан Республикасы Мамадыш муниципаль районы чикләрендә җирле әһәмияттәге аеруча саклана торган табигый территорияләрне саклау һәм куллану өлкәсендә муниципаль контрольне гамәлгә ашырганда түбәндәге индикатив күрсәткечләр билгеләнә:</w:t>
      </w:r>
    </w:p>
    <w:p w:rsidR="00B11004" w:rsidRPr="00B11004" w:rsidRDefault="00B11004" w:rsidP="00B11004">
      <w:pPr>
        <w:jc w:val="both"/>
        <w:rPr>
          <w:rFonts w:ascii="PT Astra Serif" w:eastAsia="Calibri" w:hAnsi="PT Astra Serif" w:cs="PT Astra Serif"/>
          <w:sz w:val="22"/>
          <w:szCs w:val="22"/>
          <w:lang w:eastAsia="en-US"/>
        </w:rPr>
      </w:pPr>
      <w:r w:rsidRPr="00B11004">
        <w:rPr>
          <w:rFonts w:ascii="PT Astra Serif" w:eastAsia="PT Astra Serif" w:hAnsi="PT Astra Serif" w:cs="PT Astra Serif"/>
          <w:sz w:val="28"/>
          <w:szCs w:val="28"/>
          <w:lang w:eastAsia="en-US"/>
        </w:rPr>
        <w:t>- үткәрелгән планлы контроль чаралар саны;</w:t>
      </w:r>
    </w:p>
    <w:p w:rsidR="00B11004" w:rsidRPr="00B11004" w:rsidRDefault="00B11004" w:rsidP="00B11004">
      <w:pPr>
        <w:jc w:val="both"/>
        <w:rPr>
          <w:rFonts w:ascii="PT Astra Serif" w:eastAsia="Calibri" w:hAnsi="PT Astra Serif" w:cs="PT Astra Serif"/>
          <w:sz w:val="22"/>
          <w:szCs w:val="22"/>
          <w:lang w:eastAsia="en-US"/>
        </w:rPr>
      </w:pPr>
      <w:r w:rsidRPr="00B11004">
        <w:rPr>
          <w:rFonts w:ascii="PT Astra Serif" w:eastAsia="PT Astra Serif" w:hAnsi="PT Astra Serif" w:cs="PT Astra Serif"/>
          <w:sz w:val="28"/>
          <w:szCs w:val="28"/>
          <w:lang w:eastAsia="en-US"/>
        </w:rPr>
        <w:t>- планнан тыш үткәрелгән контроль чаралар саны;</w:t>
      </w:r>
    </w:p>
    <w:p w:rsidR="00B11004" w:rsidRPr="00B11004" w:rsidRDefault="00B11004" w:rsidP="00B11004">
      <w:pPr>
        <w:jc w:val="both"/>
        <w:rPr>
          <w:rFonts w:ascii="PT Astra Serif" w:eastAsia="Calibri" w:hAnsi="PT Astra Serif" w:cs="PT Astra Serif"/>
          <w:sz w:val="22"/>
          <w:szCs w:val="22"/>
          <w:lang w:eastAsia="en-US"/>
        </w:rPr>
      </w:pPr>
      <w:r w:rsidRPr="00B11004">
        <w:rPr>
          <w:rFonts w:ascii="PT Astra Serif" w:eastAsia="PT Astra Serif" w:hAnsi="PT Astra Serif" w:cs="PT Astra Serif"/>
          <w:sz w:val="28"/>
          <w:szCs w:val="28"/>
          <w:lang w:eastAsia="en-US"/>
        </w:rPr>
        <w:t>- контроль чара актына карата килгән кире кагулар саны;</w:t>
      </w:r>
    </w:p>
    <w:p w:rsidR="00B11004" w:rsidRPr="00B11004" w:rsidRDefault="00B11004" w:rsidP="00B11004">
      <w:pPr>
        <w:jc w:val="both"/>
        <w:rPr>
          <w:rFonts w:ascii="PT Astra Serif" w:eastAsia="Calibri" w:hAnsi="PT Astra Serif" w:cs="PT Astra Serif"/>
          <w:sz w:val="28"/>
          <w:szCs w:val="28"/>
          <w:lang w:eastAsia="en-US"/>
        </w:rPr>
      </w:pPr>
      <w:r w:rsidRPr="00B11004">
        <w:rPr>
          <w:rFonts w:ascii="PT Astra Serif" w:eastAsia="PT Astra Serif" w:hAnsi="PT Astra Serif" w:cs="PT Astra Serif"/>
          <w:sz w:val="28"/>
          <w:szCs w:val="28"/>
          <w:lang w:eastAsia="en-US"/>
        </w:rPr>
        <w:t>- мәҗбүри таләпләрне бозуның бетерелгән саны.</w:t>
      </w:r>
    </w:p>
    <w:p w:rsidR="00B11004" w:rsidRPr="00E96F7E" w:rsidRDefault="00B11004" w:rsidP="007D092A">
      <w:pPr>
        <w:jc w:val="both"/>
        <w:rPr>
          <w:b/>
          <w:sz w:val="28"/>
          <w:szCs w:val="28"/>
        </w:rPr>
      </w:pPr>
    </w:p>
    <w:sectPr w:rsidR="00B11004" w:rsidRPr="00E96F7E" w:rsidSect="007D092A">
      <w:pgSz w:w="11909" w:h="16834"/>
      <w:pgMar w:top="709" w:right="427" w:bottom="360"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E8" w:rsidRDefault="002306E8">
      <w:r>
        <w:separator/>
      </w:r>
    </w:p>
  </w:endnote>
  <w:endnote w:type="continuationSeparator" w:id="0">
    <w:p w:rsidR="002306E8" w:rsidRDefault="0023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PT Astra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E8" w:rsidRDefault="002306E8">
      <w:r>
        <w:separator/>
      </w:r>
    </w:p>
  </w:footnote>
  <w:footnote w:type="continuationSeparator" w:id="0">
    <w:p w:rsidR="002306E8" w:rsidRDefault="002306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0E29BC"/>
    <w:multiLevelType w:val="hybridMultilevel"/>
    <w:tmpl w:val="87184846"/>
    <w:lvl w:ilvl="0" w:tplc="843C6008">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1C55EBC"/>
    <w:multiLevelType w:val="multilevel"/>
    <w:tmpl w:val="3AE4CA2E"/>
    <w:lvl w:ilvl="0">
      <w:start w:val="1"/>
      <w:numFmt w:val="decimal"/>
      <w:suff w:val="space"/>
      <w:lvlText w:val="%1."/>
      <w:lvlJc w:val="left"/>
      <w:pPr>
        <w:ind w:left="1069" w:hanging="360"/>
      </w:pPr>
    </w:lvl>
    <w:lvl w:ilvl="1">
      <w:start w:val="1"/>
      <w:numFmt w:val="lowerLetter"/>
      <w:suff w:val="space"/>
      <w:lvlText w:val="%2."/>
      <w:lvlJc w:val="left"/>
      <w:pPr>
        <w:ind w:left="1789" w:hanging="360"/>
      </w:pPr>
    </w:lvl>
    <w:lvl w:ilvl="2">
      <w:start w:val="1"/>
      <w:numFmt w:val="lowerRoman"/>
      <w:suff w:val="space"/>
      <w:lvlText w:val="%3."/>
      <w:lvlJc w:val="right"/>
      <w:pPr>
        <w:ind w:left="2509" w:hanging="180"/>
      </w:pPr>
    </w:lvl>
    <w:lvl w:ilvl="3">
      <w:start w:val="1"/>
      <w:numFmt w:val="decimal"/>
      <w:suff w:val="space"/>
      <w:lvlText w:val="%4."/>
      <w:lvlJc w:val="left"/>
      <w:pPr>
        <w:ind w:left="3229" w:hanging="360"/>
      </w:pPr>
    </w:lvl>
    <w:lvl w:ilvl="4">
      <w:start w:val="1"/>
      <w:numFmt w:val="lowerLetter"/>
      <w:suff w:val="space"/>
      <w:lvlText w:val="%5."/>
      <w:lvlJc w:val="left"/>
      <w:pPr>
        <w:ind w:left="3949" w:hanging="360"/>
      </w:pPr>
    </w:lvl>
    <w:lvl w:ilvl="5">
      <w:start w:val="1"/>
      <w:numFmt w:val="lowerRoman"/>
      <w:suff w:val="space"/>
      <w:lvlText w:val="%6."/>
      <w:lvlJc w:val="right"/>
      <w:pPr>
        <w:ind w:left="4669" w:hanging="180"/>
      </w:pPr>
    </w:lvl>
    <w:lvl w:ilvl="6">
      <w:start w:val="1"/>
      <w:numFmt w:val="decimal"/>
      <w:suff w:val="space"/>
      <w:lvlText w:val="%7."/>
      <w:lvlJc w:val="left"/>
      <w:pPr>
        <w:ind w:left="5389" w:hanging="360"/>
      </w:pPr>
    </w:lvl>
    <w:lvl w:ilvl="7">
      <w:start w:val="1"/>
      <w:numFmt w:val="lowerLetter"/>
      <w:suff w:val="space"/>
      <w:lvlText w:val="%8."/>
      <w:lvlJc w:val="left"/>
      <w:pPr>
        <w:ind w:left="6109" w:hanging="360"/>
      </w:pPr>
    </w:lvl>
    <w:lvl w:ilvl="8">
      <w:start w:val="1"/>
      <w:numFmt w:val="lowerRoman"/>
      <w:suff w:val="space"/>
      <w:lvlText w:val="%9."/>
      <w:lvlJc w:val="right"/>
      <w:pPr>
        <w:ind w:left="6829" w:hanging="180"/>
      </w:pPr>
    </w:lvl>
  </w:abstractNum>
  <w:abstractNum w:abstractNumId="8"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4"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6"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20" w15:restartNumberingAfterBreak="0">
    <w:nsid w:val="4E1C46CF"/>
    <w:multiLevelType w:val="multilevel"/>
    <w:tmpl w:val="526C8260"/>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1"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2"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4"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5"/>
  </w:num>
  <w:num w:numId="3">
    <w:abstractNumId w:val="2"/>
  </w:num>
  <w:num w:numId="4">
    <w:abstractNumId w:val="26"/>
  </w:num>
  <w:num w:numId="5">
    <w:abstractNumId w:val="31"/>
  </w:num>
  <w:num w:numId="6">
    <w:abstractNumId w:val="24"/>
  </w:num>
  <w:num w:numId="7">
    <w:abstractNumId w:val="3"/>
  </w:num>
  <w:num w:numId="8">
    <w:abstractNumId w:val="23"/>
  </w:num>
  <w:num w:numId="9">
    <w:abstractNumId w:val="6"/>
  </w:num>
  <w:num w:numId="10">
    <w:abstractNumId w:val="17"/>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30"/>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2"/>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2876"/>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306E8"/>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64C16"/>
    <w:rsid w:val="00383BBB"/>
    <w:rsid w:val="00384781"/>
    <w:rsid w:val="00396A18"/>
    <w:rsid w:val="003A2FC9"/>
    <w:rsid w:val="003A31DE"/>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52392"/>
    <w:rsid w:val="00455EC4"/>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E6490"/>
    <w:rsid w:val="006F6AA6"/>
    <w:rsid w:val="007028EE"/>
    <w:rsid w:val="007063DB"/>
    <w:rsid w:val="00710AE1"/>
    <w:rsid w:val="0072575F"/>
    <w:rsid w:val="00726BEC"/>
    <w:rsid w:val="007308EE"/>
    <w:rsid w:val="0074413C"/>
    <w:rsid w:val="00744812"/>
    <w:rsid w:val="007458F2"/>
    <w:rsid w:val="00762268"/>
    <w:rsid w:val="00767EAD"/>
    <w:rsid w:val="00772E6A"/>
    <w:rsid w:val="00777BF5"/>
    <w:rsid w:val="00780A18"/>
    <w:rsid w:val="00792D23"/>
    <w:rsid w:val="00794779"/>
    <w:rsid w:val="007969EC"/>
    <w:rsid w:val="00797AC4"/>
    <w:rsid w:val="007A0CD3"/>
    <w:rsid w:val="007A2873"/>
    <w:rsid w:val="007A44C0"/>
    <w:rsid w:val="007A6E8B"/>
    <w:rsid w:val="007B41D4"/>
    <w:rsid w:val="007B74E4"/>
    <w:rsid w:val="007C079A"/>
    <w:rsid w:val="007C4361"/>
    <w:rsid w:val="007D092A"/>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1004"/>
    <w:rsid w:val="00B12302"/>
    <w:rsid w:val="00B220D6"/>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2DAD"/>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104F"/>
    <w:rsid w:val="00E329F8"/>
    <w:rsid w:val="00E51B49"/>
    <w:rsid w:val="00E5624E"/>
    <w:rsid w:val="00E62980"/>
    <w:rsid w:val="00E63EE2"/>
    <w:rsid w:val="00E80182"/>
    <w:rsid w:val="00E804CB"/>
    <w:rsid w:val="00E81037"/>
    <w:rsid w:val="00E876D2"/>
    <w:rsid w:val="00E9231A"/>
    <w:rsid w:val="00E96F7E"/>
    <w:rsid w:val="00EA7058"/>
    <w:rsid w:val="00EA72DF"/>
    <w:rsid w:val="00EB2775"/>
    <w:rsid w:val="00EB51E8"/>
    <w:rsid w:val="00EC1086"/>
    <w:rsid w:val="00EC1ADC"/>
    <w:rsid w:val="00EC2AF9"/>
    <w:rsid w:val="00ED6719"/>
    <w:rsid w:val="00EE36E9"/>
    <w:rsid w:val="00EE41FB"/>
    <w:rsid w:val="00EE65F9"/>
    <w:rsid w:val="00F0125C"/>
    <w:rsid w:val="00F04B03"/>
    <w:rsid w:val="00F06CCF"/>
    <w:rsid w:val="00F111ED"/>
    <w:rsid w:val="00F22FF3"/>
    <w:rsid w:val="00F26663"/>
    <w:rsid w:val="00F63630"/>
    <w:rsid w:val="00F82C9C"/>
    <w:rsid w:val="00F8752E"/>
    <w:rsid w:val="00FA0DC6"/>
    <w:rsid w:val="00FB2C89"/>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31898"/>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51051289">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69030356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069768787">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65557728">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5D5448-2DD4-4E44-9372-248451DF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2024-03-14T10:40:00Z</cp:lastPrinted>
  <dcterms:created xsi:type="dcterms:W3CDTF">2024-03-14T10:41:00Z</dcterms:created>
  <dcterms:modified xsi:type="dcterms:W3CDTF">2024-03-14T13:04:00Z</dcterms:modified>
</cp:coreProperties>
</file>