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24A86" w:rsidP="00107FC2">
            <w:pPr>
              <w:rPr>
                <w:sz w:val="28"/>
              </w:rPr>
            </w:pPr>
            <w:r>
              <w:rPr>
                <w:sz w:val="28"/>
              </w:rPr>
              <w:t>№ 422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24A86" w:rsidP="00107FC2">
            <w:pPr>
              <w:rPr>
                <w:sz w:val="28"/>
              </w:rPr>
            </w:pPr>
            <w:r>
              <w:rPr>
                <w:sz w:val="28"/>
              </w:rPr>
              <w:t xml:space="preserve">от «07»            </w:t>
            </w:r>
            <w:bookmarkStart w:id="0" w:name="_GoBack"/>
            <w:bookmarkEnd w:id="0"/>
            <w:r>
              <w:rPr>
                <w:sz w:val="28"/>
              </w:rPr>
              <w:t xml:space="preserve">  12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374B76" w:rsidRPr="00374B76" w:rsidRDefault="00374B76" w:rsidP="00374B76">
      <w:pPr>
        <w:widowControl w:val="0"/>
        <w:autoSpaceDE w:val="0"/>
        <w:autoSpaceDN w:val="0"/>
        <w:adjustRightInd w:val="0"/>
        <w:spacing w:line="360" w:lineRule="auto"/>
        <w:rPr>
          <w:b/>
          <w:sz w:val="27"/>
          <w:szCs w:val="27"/>
        </w:rPr>
      </w:pPr>
    </w:p>
    <w:tbl>
      <w:tblPr>
        <w:tblW w:w="9639" w:type="dxa"/>
        <w:tblInd w:w="-142" w:type="dxa"/>
        <w:tblLook w:val="04A0" w:firstRow="1" w:lastRow="0" w:firstColumn="1" w:lastColumn="0" w:noHBand="0" w:noVBand="1"/>
      </w:tblPr>
      <w:tblGrid>
        <w:gridCol w:w="9639"/>
      </w:tblGrid>
      <w:tr w:rsidR="00374B76" w:rsidRPr="00374B76" w:rsidTr="00374B76">
        <w:tc>
          <w:tcPr>
            <w:tcW w:w="9639" w:type="dxa"/>
            <w:hideMark/>
          </w:tcPr>
          <w:p w:rsidR="00374B76" w:rsidRDefault="00374B76" w:rsidP="00374B76">
            <w:pPr>
              <w:autoSpaceDN w:val="0"/>
              <w:jc w:val="both"/>
              <w:rPr>
                <w:sz w:val="28"/>
                <w:szCs w:val="28"/>
              </w:rPr>
            </w:pPr>
            <w:r>
              <w:rPr>
                <w:sz w:val="28"/>
                <w:szCs w:val="28"/>
              </w:rPr>
              <w:t xml:space="preserve"> </w:t>
            </w:r>
            <w:r w:rsidRPr="00374B76">
              <w:rPr>
                <w:sz w:val="28"/>
                <w:szCs w:val="28"/>
              </w:rPr>
              <w:t>Мамадыш муниципаль районы башкарма</w:t>
            </w:r>
          </w:p>
          <w:p w:rsidR="00374B76" w:rsidRDefault="00374B76" w:rsidP="00374B76">
            <w:pPr>
              <w:autoSpaceDN w:val="0"/>
              <w:rPr>
                <w:sz w:val="28"/>
                <w:szCs w:val="28"/>
              </w:rPr>
            </w:pPr>
            <w:r w:rsidRPr="00374B76">
              <w:rPr>
                <w:sz w:val="28"/>
                <w:szCs w:val="28"/>
              </w:rPr>
              <w:t xml:space="preserve"> к</w:t>
            </w:r>
            <w:r>
              <w:rPr>
                <w:sz w:val="28"/>
                <w:szCs w:val="28"/>
              </w:rPr>
              <w:t xml:space="preserve">омитеты җитәкчесенең 2017 елның </w:t>
            </w:r>
            <w:r w:rsidRPr="00374B76">
              <w:rPr>
                <w:sz w:val="28"/>
                <w:szCs w:val="28"/>
              </w:rPr>
              <w:t xml:space="preserve">07 октябрендәге </w:t>
            </w:r>
          </w:p>
          <w:p w:rsidR="00374B76" w:rsidRDefault="00374B76" w:rsidP="00374B76">
            <w:pPr>
              <w:autoSpaceDN w:val="0"/>
              <w:rPr>
                <w:sz w:val="28"/>
                <w:szCs w:val="28"/>
              </w:rPr>
            </w:pPr>
            <w:r w:rsidRPr="00374B76">
              <w:rPr>
                <w:sz w:val="28"/>
                <w:szCs w:val="28"/>
              </w:rPr>
              <w:t>«Гражданнар оборонасы, халыкны һәм территорияләрне</w:t>
            </w:r>
          </w:p>
          <w:p w:rsidR="00374B76" w:rsidRDefault="00374B76" w:rsidP="00374B76">
            <w:pPr>
              <w:autoSpaceDN w:val="0"/>
              <w:rPr>
                <w:sz w:val="28"/>
                <w:szCs w:val="28"/>
              </w:rPr>
            </w:pPr>
            <w:r w:rsidRPr="00374B76">
              <w:rPr>
                <w:sz w:val="28"/>
                <w:szCs w:val="28"/>
              </w:rPr>
              <w:t>табигый һәм техноген характердагы гадәттән тыш</w:t>
            </w:r>
          </w:p>
          <w:p w:rsidR="00374B76" w:rsidRDefault="00374B76" w:rsidP="00374B76">
            <w:pPr>
              <w:autoSpaceDN w:val="0"/>
              <w:rPr>
                <w:sz w:val="28"/>
                <w:szCs w:val="28"/>
              </w:rPr>
            </w:pPr>
            <w:r w:rsidRPr="00374B76">
              <w:rPr>
                <w:sz w:val="28"/>
                <w:szCs w:val="28"/>
              </w:rPr>
              <w:t>хәлләрдән саклау, янгын куркынычсызлыгын һәм</w:t>
            </w:r>
          </w:p>
          <w:p w:rsidR="00374B76" w:rsidRDefault="00374B76" w:rsidP="00374B76">
            <w:pPr>
              <w:autoSpaceDN w:val="0"/>
              <w:rPr>
                <w:sz w:val="28"/>
                <w:szCs w:val="28"/>
              </w:rPr>
            </w:pPr>
            <w:r w:rsidRPr="00374B76">
              <w:rPr>
                <w:sz w:val="28"/>
                <w:szCs w:val="28"/>
              </w:rPr>
              <w:t>су объектларында кешеләрнең иминлеген тәэмин итү</w:t>
            </w:r>
          </w:p>
          <w:p w:rsidR="00374B76" w:rsidRDefault="00374B76" w:rsidP="00374B76">
            <w:pPr>
              <w:autoSpaceDN w:val="0"/>
              <w:rPr>
                <w:sz w:val="28"/>
                <w:szCs w:val="28"/>
              </w:rPr>
            </w:pPr>
            <w:r w:rsidRPr="00374B76">
              <w:rPr>
                <w:sz w:val="28"/>
                <w:szCs w:val="28"/>
              </w:rPr>
              <w:t>өлкәсендә Мамадыш муниципаль районы хезмәткәрләренең</w:t>
            </w:r>
          </w:p>
          <w:p w:rsidR="00374B76" w:rsidRDefault="00374B76" w:rsidP="00374B76">
            <w:pPr>
              <w:autoSpaceDN w:val="0"/>
              <w:rPr>
                <w:sz w:val="28"/>
                <w:szCs w:val="28"/>
              </w:rPr>
            </w:pPr>
            <w:r w:rsidRPr="00374B76">
              <w:rPr>
                <w:sz w:val="28"/>
                <w:szCs w:val="28"/>
              </w:rPr>
              <w:t>хезмәтенә түләү шартлары турындагы нигезләмәне раслау</w:t>
            </w:r>
          </w:p>
          <w:p w:rsidR="00374B76" w:rsidRPr="00374B76" w:rsidRDefault="00374B76" w:rsidP="00374B76">
            <w:pPr>
              <w:autoSpaceDN w:val="0"/>
              <w:rPr>
                <w:sz w:val="28"/>
                <w:szCs w:val="28"/>
              </w:rPr>
            </w:pPr>
            <w:r w:rsidRPr="00374B76">
              <w:rPr>
                <w:sz w:val="28"/>
                <w:szCs w:val="28"/>
              </w:rPr>
              <w:t>хакында» 1187 номерлы карарына үзгәрешләр кертү турында</w:t>
            </w:r>
          </w:p>
        </w:tc>
      </w:tr>
    </w:tbl>
    <w:p w:rsidR="00374B76" w:rsidRPr="00374B76" w:rsidRDefault="00374B76" w:rsidP="00374B76">
      <w:pPr>
        <w:widowControl w:val="0"/>
        <w:shd w:val="clear" w:color="auto" w:fill="FFFFFF"/>
        <w:autoSpaceDE w:val="0"/>
        <w:autoSpaceDN w:val="0"/>
        <w:adjustRightInd w:val="0"/>
        <w:jc w:val="center"/>
        <w:rPr>
          <w:b/>
          <w:bCs/>
          <w:sz w:val="28"/>
          <w:szCs w:val="28"/>
        </w:rPr>
      </w:pPr>
    </w:p>
    <w:p w:rsidR="00374B76" w:rsidRPr="00374B76" w:rsidRDefault="00374B76" w:rsidP="00374B76">
      <w:pPr>
        <w:widowControl w:val="0"/>
        <w:shd w:val="clear" w:color="auto" w:fill="FFFFFF"/>
        <w:autoSpaceDE w:val="0"/>
        <w:autoSpaceDN w:val="0"/>
        <w:adjustRightInd w:val="0"/>
        <w:ind w:firstLine="709"/>
        <w:jc w:val="both"/>
        <w:rPr>
          <w:sz w:val="28"/>
          <w:szCs w:val="28"/>
        </w:rPr>
      </w:pPr>
      <w:r w:rsidRPr="00374B76">
        <w:rPr>
          <w:sz w:val="28"/>
          <w:szCs w:val="28"/>
        </w:rPr>
        <w:t>Татарстан Республикасы Министрлар Кабинетының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 Татарстан Республикасында бюджетара мөнәсәбәтләрне формалаштырганда исәпкә алына торган муниципаль учреждениеләр хезмәте өчен түләүгә Татарстан Республикасы муниципаль районнары һәм шәһәр округлары бюджетлары чыгымнары күләмен билгеләү методикасын раслау турында» 2017 ел, 14 август, 569 нчы карары белән расланган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 Татарстан Республикасында бюджетара мөнәсәбәтләрне формалаштырганда исәпкә алына торган муниципаль учреждениеләр хезмәте өчен түләүгә Татарстан Республикасы муниципаль районнары һәм шәһәр округлары бюджетлары чыгымнары күләмен билгеләү методикасына үзгәреш кертү хакында» 2022 елны</w:t>
      </w:r>
      <w:r w:rsidRPr="00374B76">
        <w:rPr>
          <w:sz w:val="28"/>
          <w:szCs w:val="28"/>
          <w:lang w:val="tt-RU"/>
        </w:rPr>
        <w:t xml:space="preserve">ң 19 августындагы 865 нче һәм 2022 елның 15 сентябрендәге 1007 карарлары нигезендә </w:t>
      </w:r>
      <w:r w:rsidRPr="00374B76">
        <w:rPr>
          <w:sz w:val="28"/>
          <w:szCs w:val="28"/>
        </w:rPr>
        <w:t xml:space="preserve">Татарстан Республикасы Мамадыш муниципаль районы башкарма комитеты </w:t>
      </w:r>
    </w:p>
    <w:p w:rsidR="00374B76" w:rsidRPr="00D24A86" w:rsidRDefault="00374B76" w:rsidP="00374B76">
      <w:pPr>
        <w:widowControl w:val="0"/>
        <w:shd w:val="clear" w:color="auto" w:fill="FFFFFF"/>
        <w:autoSpaceDE w:val="0"/>
        <w:autoSpaceDN w:val="0"/>
        <w:adjustRightInd w:val="0"/>
        <w:jc w:val="both"/>
        <w:rPr>
          <w:b/>
          <w:sz w:val="28"/>
          <w:szCs w:val="28"/>
          <w:lang w:val="tt-RU"/>
        </w:rPr>
      </w:pPr>
      <w:r>
        <w:rPr>
          <w:sz w:val="28"/>
          <w:szCs w:val="28"/>
          <w:lang w:val="tt-RU"/>
        </w:rPr>
        <w:t xml:space="preserve">          </w:t>
      </w:r>
      <w:r w:rsidRPr="00374B76">
        <w:rPr>
          <w:sz w:val="28"/>
          <w:szCs w:val="28"/>
          <w:lang w:val="tt-RU"/>
        </w:rPr>
        <w:t>КАРАР БИРӘ</w:t>
      </w:r>
      <w:r w:rsidRPr="00D24A86">
        <w:rPr>
          <w:sz w:val="28"/>
          <w:szCs w:val="28"/>
          <w:lang w:val="tt-RU"/>
        </w:rPr>
        <w:t>:</w:t>
      </w:r>
    </w:p>
    <w:p w:rsidR="00374B76" w:rsidRPr="00D24A86" w:rsidRDefault="00374B76" w:rsidP="00374B76">
      <w:pPr>
        <w:widowControl w:val="0"/>
        <w:autoSpaceDE w:val="0"/>
        <w:autoSpaceDN w:val="0"/>
        <w:adjustRightInd w:val="0"/>
        <w:ind w:firstLine="709"/>
        <w:jc w:val="both"/>
        <w:rPr>
          <w:sz w:val="28"/>
          <w:szCs w:val="28"/>
          <w:lang w:val="tt-RU"/>
        </w:rPr>
      </w:pPr>
      <w:r w:rsidRPr="00D24A86">
        <w:rPr>
          <w:sz w:val="28"/>
          <w:szCs w:val="28"/>
          <w:lang w:val="tt-RU"/>
        </w:rPr>
        <w:t xml:space="preserve">1. Мамадыш муниципаль районы башкарма комитеты җитәкчесенең 2017 елның 07 октябрендәге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 Мамадыш муниципаль районы хезмәткәрләренең хезмәтенә түләү </w:t>
      </w:r>
      <w:r w:rsidRPr="00D24A86">
        <w:rPr>
          <w:sz w:val="28"/>
          <w:szCs w:val="28"/>
          <w:lang w:val="tt-RU"/>
        </w:rPr>
        <w:lastRenderedPageBreak/>
        <w:t xml:space="preserve">шартлары турындагы нигезләмәне раслау хакында» 1187 номерлы карарына </w:t>
      </w:r>
      <w:r w:rsidRPr="00374B76">
        <w:rPr>
          <w:sz w:val="28"/>
          <w:szCs w:val="28"/>
          <w:lang w:val="tt-RU"/>
        </w:rPr>
        <w:t xml:space="preserve">түбәндәге </w:t>
      </w:r>
      <w:r w:rsidRPr="00D24A86">
        <w:rPr>
          <w:sz w:val="28"/>
          <w:szCs w:val="28"/>
          <w:lang w:val="tt-RU"/>
        </w:rPr>
        <w:t>үзгәрешләрне кертерг</w:t>
      </w:r>
      <w:r w:rsidRPr="00374B76">
        <w:rPr>
          <w:sz w:val="28"/>
          <w:szCs w:val="28"/>
          <w:lang w:val="tt-RU"/>
        </w:rPr>
        <w:t>ә</w:t>
      </w:r>
      <w:r w:rsidRPr="00D24A86">
        <w:rPr>
          <w:sz w:val="28"/>
          <w:szCs w:val="28"/>
          <w:lang w:val="tt-RU"/>
        </w:rPr>
        <w:t>:</w:t>
      </w:r>
    </w:p>
    <w:p w:rsidR="00374B76" w:rsidRPr="00D24A86" w:rsidRDefault="00374B76" w:rsidP="00374B76">
      <w:pPr>
        <w:widowControl w:val="0"/>
        <w:autoSpaceDE w:val="0"/>
        <w:autoSpaceDN w:val="0"/>
        <w:adjustRightInd w:val="0"/>
        <w:ind w:firstLine="709"/>
        <w:jc w:val="both"/>
        <w:rPr>
          <w:sz w:val="28"/>
          <w:szCs w:val="28"/>
          <w:lang w:val="tt-RU"/>
        </w:rPr>
      </w:pPr>
      <w:r w:rsidRPr="00D24A86">
        <w:rPr>
          <w:sz w:val="28"/>
          <w:szCs w:val="28"/>
          <w:lang w:val="tt-RU"/>
        </w:rPr>
        <w:t xml:space="preserve">1.1.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 Мамадыш муниципаль районы хезмәткәрләренең хезмәтенә түләү шартлары турындагы нигезләмәнең II бүлегендә, «хезмәткәрләрнең вазыйфаи окладлары» 1 нче таблицаны </w:t>
      </w:r>
      <w:r w:rsidRPr="00374B76">
        <w:rPr>
          <w:sz w:val="28"/>
          <w:szCs w:val="28"/>
          <w:lang w:val="tt-RU"/>
        </w:rPr>
        <w:t xml:space="preserve">түбәндәге </w:t>
      </w:r>
      <w:r w:rsidRPr="00D24A86">
        <w:rPr>
          <w:sz w:val="28"/>
          <w:szCs w:val="28"/>
          <w:lang w:val="tt-RU"/>
        </w:rPr>
        <w:t>яңа редакциядә  бәян итәргә:</w:t>
      </w:r>
    </w:p>
    <w:p w:rsidR="00374B76" w:rsidRPr="00374B76" w:rsidRDefault="00374B76" w:rsidP="00374B76">
      <w:pPr>
        <w:widowControl w:val="0"/>
        <w:autoSpaceDE w:val="0"/>
        <w:autoSpaceDN w:val="0"/>
        <w:adjustRightInd w:val="0"/>
        <w:ind w:firstLine="709"/>
        <w:jc w:val="right"/>
        <w:rPr>
          <w:sz w:val="28"/>
          <w:szCs w:val="28"/>
        </w:rPr>
      </w:pPr>
      <w:r w:rsidRPr="00374B76">
        <w:rPr>
          <w:sz w:val="28"/>
          <w:szCs w:val="28"/>
        </w:rPr>
        <w:t>1 нчеТаблица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6477"/>
        <w:gridCol w:w="2768"/>
      </w:tblGrid>
      <w:tr w:rsidR="00374B76" w:rsidRPr="00374B76" w:rsidTr="00374B76">
        <w:tc>
          <w:tcPr>
            <w:tcW w:w="817"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rPr>
            </w:pPr>
            <w:r w:rsidRPr="00374B76">
              <w:rPr>
                <w:sz w:val="28"/>
                <w:szCs w:val="28"/>
              </w:rPr>
              <w:t>№ п/п</w:t>
            </w:r>
          </w:p>
        </w:tc>
        <w:tc>
          <w:tcPr>
            <w:tcW w:w="6662"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lang w:val="tt-RU"/>
              </w:rPr>
            </w:pPr>
            <w:r w:rsidRPr="00374B76">
              <w:rPr>
                <w:sz w:val="28"/>
                <w:szCs w:val="28"/>
              </w:rPr>
              <w:t>Хезм</w:t>
            </w:r>
            <w:r w:rsidRPr="00374B76">
              <w:rPr>
                <w:sz w:val="28"/>
                <w:szCs w:val="28"/>
                <w:lang w:val="tt-RU"/>
              </w:rPr>
              <w:t xml:space="preserve">әткәрләрнең вазифалары </w:t>
            </w:r>
          </w:p>
        </w:tc>
        <w:tc>
          <w:tcPr>
            <w:tcW w:w="2835"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rPr>
            </w:pPr>
            <w:r w:rsidRPr="00374B76">
              <w:rPr>
                <w:sz w:val="28"/>
                <w:szCs w:val="28"/>
              </w:rPr>
              <w:t>Вазифаи оклад күләме, сум</w:t>
            </w:r>
          </w:p>
        </w:tc>
      </w:tr>
      <w:tr w:rsidR="00374B76" w:rsidRPr="00374B76" w:rsidTr="00374B76">
        <w:tc>
          <w:tcPr>
            <w:tcW w:w="817"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rPr>
            </w:pPr>
            <w:r w:rsidRPr="00374B76">
              <w:rPr>
                <w:sz w:val="28"/>
                <w:szCs w:val="28"/>
              </w:rPr>
              <w:t>1</w:t>
            </w:r>
          </w:p>
        </w:tc>
        <w:tc>
          <w:tcPr>
            <w:tcW w:w="6662"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rPr>
            </w:pPr>
            <w:r w:rsidRPr="00374B76">
              <w:rPr>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rPr>
            </w:pPr>
            <w:r w:rsidRPr="00374B76">
              <w:rPr>
                <w:sz w:val="28"/>
                <w:szCs w:val="28"/>
              </w:rPr>
              <w:t>3</w:t>
            </w:r>
          </w:p>
        </w:tc>
      </w:tr>
      <w:tr w:rsidR="00374B76" w:rsidRPr="00374B76" w:rsidTr="00374B76">
        <w:tc>
          <w:tcPr>
            <w:tcW w:w="817"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rPr>
            </w:pPr>
            <w:r w:rsidRPr="00374B76">
              <w:rPr>
                <w:sz w:val="28"/>
                <w:szCs w:val="28"/>
              </w:rPr>
              <w:t>1</w:t>
            </w:r>
          </w:p>
        </w:tc>
        <w:tc>
          <w:tcPr>
            <w:tcW w:w="6662"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both"/>
              <w:rPr>
                <w:sz w:val="28"/>
                <w:szCs w:val="28"/>
                <w:lang w:val="tt-RU"/>
              </w:rPr>
            </w:pPr>
            <w:r w:rsidRPr="00374B76">
              <w:rPr>
                <w:sz w:val="28"/>
                <w:szCs w:val="28"/>
              </w:rPr>
              <w:t xml:space="preserve">Учреждение </w:t>
            </w:r>
            <w:r w:rsidRPr="00374B76">
              <w:rPr>
                <w:sz w:val="28"/>
                <w:szCs w:val="28"/>
                <w:lang w:val="tt-RU"/>
              </w:rPr>
              <w:t>җитәкчесе</w:t>
            </w:r>
          </w:p>
        </w:tc>
        <w:tc>
          <w:tcPr>
            <w:tcW w:w="2835"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rPr>
            </w:pPr>
            <w:r w:rsidRPr="00374B76">
              <w:rPr>
                <w:sz w:val="28"/>
                <w:szCs w:val="28"/>
              </w:rPr>
              <w:t>19862,00</w:t>
            </w:r>
          </w:p>
        </w:tc>
      </w:tr>
      <w:tr w:rsidR="00374B76" w:rsidRPr="00374B76" w:rsidTr="00374B76">
        <w:tc>
          <w:tcPr>
            <w:tcW w:w="817"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rPr>
            </w:pPr>
            <w:r w:rsidRPr="00374B76">
              <w:rPr>
                <w:sz w:val="28"/>
                <w:szCs w:val="28"/>
              </w:rPr>
              <w:t>2</w:t>
            </w:r>
          </w:p>
        </w:tc>
        <w:tc>
          <w:tcPr>
            <w:tcW w:w="6662"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both"/>
              <w:rPr>
                <w:sz w:val="28"/>
                <w:szCs w:val="28"/>
              </w:rPr>
            </w:pPr>
            <w:r w:rsidRPr="00374B76">
              <w:rPr>
                <w:sz w:val="28"/>
                <w:szCs w:val="28"/>
              </w:rPr>
              <w:t>Оператив кизү торучы</w:t>
            </w:r>
          </w:p>
        </w:tc>
        <w:tc>
          <w:tcPr>
            <w:tcW w:w="2835" w:type="dxa"/>
            <w:tcBorders>
              <w:top w:val="single" w:sz="4" w:space="0" w:color="auto"/>
              <w:left w:val="single" w:sz="4" w:space="0" w:color="auto"/>
              <w:bottom w:val="single" w:sz="4" w:space="0" w:color="auto"/>
              <w:right w:val="single" w:sz="4" w:space="0" w:color="auto"/>
            </w:tcBorders>
            <w:hideMark/>
          </w:tcPr>
          <w:p w:rsidR="00374B76" w:rsidRPr="00374B76" w:rsidRDefault="00374B76" w:rsidP="00374B76">
            <w:pPr>
              <w:widowControl w:val="0"/>
              <w:autoSpaceDE w:val="0"/>
              <w:autoSpaceDN w:val="0"/>
              <w:adjustRightInd w:val="0"/>
              <w:jc w:val="center"/>
              <w:rPr>
                <w:sz w:val="28"/>
                <w:szCs w:val="28"/>
              </w:rPr>
            </w:pPr>
            <w:r w:rsidRPr="00374B76">
              <w:rPr>
                <w:sz w:val="28"/>
                <w:szCs w:val="28"/>
              </w:rPr>
              <w:t>15279,00</w:t>
            </w:r>
          </w:p>
        </w:tc>
      </w:tr>
    </w:tbl>
    <w:p w:rsidR="00374B76" w:rsidRPr="00374B76" w:rsidRDefault="00374B76" w:rsidP="00374B76">
      <w:pPr>
        <w:widowControl w:val="0"/>
        <w:autoSpaceDE w:val="0"/>
        <w:autoSpaceDN w:val="0"/>
        <w:adjustRightInd w:val="0"/>
        <w:ind w:firstLine="709"/>
        <w:jc w:val="both"/>
        <w:rPr>
          <w:sz w:val="28"/>
          <w:szCs w:val="28"/>
        </w:rPr>
      </w:pPr>
    </w:p>
    <w:p w:rsidR="00374B76" w:rsidRPr="00374B76" w:rsidRDefault="00374B76" w:rsidP="00374B76">
      <w:pPr>
        <w:widowControl w:val="0"/>
        <w:autoSpaceDE w:val="0"/>
        <w:autoSpaceDN w:val="0"/>
        <w:adjustRightInd w:val="0"/>
        <w:ind w:firstLine="709"/>
        <w:jc w:val="both"/>
        <w:rPr>
          <w:sz w:val="28"/>
          <w:szCs w:val="28"/>
          <w:lang w:val="tt-RU"/>
        </w:rPr>
      </w:pPr>
      <w:r w:rsidRPr="00374B76">
        <w:rPr>
          <w:sz w:val="28"/>
          <w:szCs w:val="28"/>
        </w:rPr>
        <w:t xml:space="preserve">1.2.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 Мамадыш муниципаль районы хезмәткәрләренең хезмәтенә түләү шартлары турындагы нигезләмәнең  </w:t>
      </w:r>
      <w:r w:rsidRPr="00374B76">
        <w:rPr>
          <w:sz w:val="28"/>
          <w:szCs w:val="28"/>
          <w:lang w:val="en-US"/>
        </w:rPr>
        <w:t>III</w:t>
      </w:r>
      <w:r w:rsidRPr="00374B76">
        <w:rPr>
          <w:sz w:val="28"/>
          <w:szCs w:val="28"/>
        </w:rPr>
        <w:t xml:space="preserve"> бүлеген</w:t>
      </w:r>
      <w:r w:rsidRPr="00374B76">
        <w:rPr>
          <w:sz w:val="28"/>
          <w:szCs w:val="28"/>
          <w:lang w:val="tt-RU"/>
        </w:rPr>
        <w:t>ең 6 пунктын үз көчен югалтты дип танырга.</w:t>
      </w:r>
    </w:p>
    <w:p w:rsidR="00374B76" w:rsidRPr="00374B76" w:rsidRDefault="00374B76" w:rsidP="00374B76">
      <w:pPr>
        <w:widowControl w:val="0"/>
        <w:autoSpaceDE w:val="0"/>
        <w:autoSpaceDN w:val="0"/>
        <w:adjustRightInd w:val="0"/>
        <w:ind w:firstLine="709"/>
        <w:jc w:val="both"/>
        <w:rPr>
          <w:sz w:val="28"/>
          <w:szCs w:val="28"/>
          <w:lang w:val="tt-RU"/>
        </w:rPr>
      </w:pPr>
      <w:r w:rsidRPr="00374B76">
        <w:rPr>
          <w:sz w:val="28"/>
          <w:szCs w:val="28"/>
          <w:lang w:val="tt-RU"/>
        </w:rPr>
        <w:t xml:space="preserve">1.3.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 Мамадыш муниципаль районы хезмәткәрләренең хезмәтенә түләү шартлары турындагы нигезләмәнең  III бүлегенең «Дәүләт серен тәшкил иткән мәгълүматлар белән эшләү, аларның серен яшерү һәм тарату, шулай ук шифрлар белән эшләү өчен өстәмәләр» 8 пунктын түбәндәге редакциядә  бәян итәргә: </w:t>
      </w:r>
    </w:p>
    <w:p w:rsidR="00374B76" w:rsidRPr="00374B76" w:rsidRDefault="00374B76" w:rsidP="00374B76">
      <w:pPr>
        <w:widowControl w:val="0"/>
        <w:autoSpaceDE w:val="0"/>
        <w:autoSpaceDN w:val="0"/>
        <w:adjustRightInd w:val="0"/>
        <w:ind w:firstLine="709"/>
        <w:jc w:val="both"/>
        <w:rPr>
          <w:sz w:val="28"/>
          <w:szCs w:val="28"/>
          <w:lang w:val="tt-RU"/>
        </w:rPr>
      </w:pPr>
      <w:r w:rsidRPr="00374B76">
        <w:rPr>
          <w:sz w:val="28"/>
          <w:szCs w:val="28"/>
          <w:lang w:val="tt-RU"/>
        </w:rPr>
        <w:t xml:space="preserve">Россия Федерациясе Хөкүмәтенең «Даими нигездә дәүләт серенә кертелгән гражданнарга һәм дәүләт серен саклау буенча структур бүлекчәләр хезмәткәрләренә социаль гарантияләр бирү турында» 2006 елның 18 сентябрендәге 573 номерлы һәм «Россия Федерациясендә шифр хезмәте хезмәткәрләрен социаль яклау турында» 1997 елның 27 декабрендәге 1639 номерлы карарлары нигезендә, даими нигездә дәүләт серенә кертелгән хезмәткәрләргә, кзаконнарда билгеләнгән тәртиптә рөхсәт алу шарты белән, дәүләт серен тәшкил итүче белешмәләр белән эшләгән өчен елына вазыйфаи окладның 2,5%ы күләмендә айлык процент өстәмәсе түләнә. </w:t>
      </w:r>
    </w:p>
    <w:p w:rsidR="00374B76" w:rsidRPr="00374B76" w:rsidRDefault="00374B76" w:rsidP="00374B76">
      <w:pPr>
        <w:widowControl w:val="0"/>
        <w:autoSpaceDE w:val="0"/>
        <w:autoSpaceDN w:val="0"/>
        <w:adjustRightInd w:val="0"/>
        <w:ind w:firstLine="709"/>
        <w:jc w:val="both"/>
        <w:rPr>
          <w:sz w:val="28"/>
          <w:szCs w:val="28"/>
          <w:lang w:val="tt-RU"/>
        </w:rPr>
      </w:pPr>
      <w:r w:rsidRPr="00374B76">
        <w:rPr>
          <w:sz w:val="28"/>
          <w:szCs w:val="28"/>
          <w:lang w:val="tt-RU"/>
        </w:rPr>
        <w:t>2. Әлеге карар 2023 елның 1 гыйнварыннан үз көченә керә дип билгеләргә.</w:t>
      </w:r>
    </w:p>
    <w:p w:rsidR="00374B76" w:rsidRPr="00374B76" w:rsidRDefault="00374B76" w:rsidP="00374B76">
      <w:pPr>
        <w:widowControl w:val="0"/>
        <w:autoSpaceDE w:val="0"/>
        <w:autoSpaceDN w:val="0"/>
        <w:adjustRightInd w:val="0"/>
        <w:ind w:firstLine="709"/>
        <w:jc w:val="both"/>
        <w:rPr>
          <w:sz w:val="28"/>
          <w:szCs w:val="28"/>
          <w:lang w:val="tt-RU"/>
        </w:rPr>
      </w:pPr>
      <w:r w:rsidRPr="00374B76">
        <w:rPr>
          <w:sz w:val="28"/>
          <w:szCs w:val="28"/>
          <w:lang w:val="tt-RU"/>
        </w:rPr>
        <w:t xml:space="preserve">3. Әлеге карарның үтәлешен контрольдә тотуны үз җаваплылыгымда калдырам.  </w:t>
      </w:r>
    </w:p>
    <w:p w:rsidR="00374B76" w:rsidRPr="00374B76" w:rsidRDefault="00374B76" w:rsidP="00374B76">
      <w:pPr>
        <w:widowControl w:val="0"/>
        <w:shd w:val="clear" w:color="auto" w:fill="FFFFFF"/>
        <w:autoSpaceDE w:val="0"/>
        <w:autoSpaceDN w:val="0"/>
        <w:adjustRightInd w:val="0"/>
        <w:ind w:firstLine="709"/>
        <w:jc w:val="right"/>
        <w:rPr>
          <w:b/>
          <w:sz w:val="28"/>
          <w:szCs w:val="28"/>
          <w:lang w:val="tt-RU"/>
        </w:rPr>
      </w:pPr>
    </w:p>
    <w:p w:rsidR="00374B76" w:rsidRPr="00374B76" w:rsidRDefault="00374B76" w:rsidP="00374B76">
      <w:pPr>
        <w:widowControl w:val="0"/>
        <w:shd w:val="clear" w:color="auto" w:fill="FFFFFF"/>
        <w:autoSpaceDE w:val="0"/>
        <w:autoSpaceDN w:val="0"/>
        <w:adjustRightInd w:val="0"/>
        <w:ind w:firstLine="709"/>
        <w:jc w:val="right"/>
        <w:rPr>
          <w:b/>
          <w:sz w:val="28"/>
          <w:szCs w:val="28"/>
          <w:lang w:val="tt-RU"/>
        </w:rPr>
      </w:pPr>
    </w:p>
    <w:p w:rsidR="00374B76" w:rsidRPr="00374B76" w:rsidRDefault="00374B76" w:rsidP="00374B76">
      <w:pPr>
        <w:widowControl w:val="0"/>
        <w:shd w:val="clear" w:color="auto" w:fill="FFFFFF"/>
        <w:autoSpaceDE w:val="0"/>
        <w:autoSpaceDN w:val="0"/>
        <w:adjustRightInd w:val="0"/>
        <w:rPr>
          <w:sz w:val="28"/>
          <w:szCs w:val="28"/>
        </w:rPr>
      </w:pPr>
      <w:r w:rsidRPr="00374B76">
        <w:rPr>
          <w:sz w:val="28"/>
          <w:szCs w:val="28"/>
          <w:lang w:val="tt-RU"/>
        </w:rPr>
        <w:t>Җитәкче</w:t>
      </w:r>
      <w:r w:rsidRPr="00374B76">
        <w:rPr>
          <w:sz w:val="28"/>
          <w:szCs w:val="28"/>
        </w:rPr>
        <w:t xml:space="preserve">                                                                                       </w:t>
      </w:r>
      <w:r>
        <w:rPr>
          <w:sz w:val="28"/>
          <w:szCs w:val="28"/>
        </w:rPr>
        <w:t xml:space="preserve">                   </w:t>
      </w:r>
      <w:r w:rsidRPr="00374B76">
        <w:rPr>
          <w:sz w:val="28"/>
          <w:szCs w:val="28"/>
        </w:rPr>
        <w:t xml:space="preserve">  О.Н.Павлов</w:t>
      </w:r>
    </w:p>
    <w:p w:rsidR="00374B76" w:rsidRPr="00374B76" w:rsidRDefault="00374B76" w:rsidP="00374B76">
      <w:pPr>
        <w:jc w:val="right"/>
        <w:rPr>
          <w:b/>
          <w:sz w:val="27"/>
          <w:szCs w:val="27"/>
          <w:lang w:eastAsia="x-none"/>
        </w:rPr>
      </w:pPr>
      <w:r>
        <w:rPr>
          <w:b/>
          <w:sz w:val="27"/>
          <w:szCs w:val="27"/>
          <w:lang w:eastAsia="x-none"/>
        </w:rPr>
        <w:t xml:space="preserve"> </w:t>
      </w:r>
    </w:p>
    <w:p w:rsidR="00374B76" w:rsidRDefault="00374B76" w:rsidP="00374B76">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sectPr w:rsidR="00414B8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A9" w:rsidRDefault="00A667A9">
      <w:r>
        <w:separator/>
      </w:r>
    </w:p>
  </w:endnote>
  <w:endnote w:type="continuationSeparator" w:id="0">
    <w:p w:rsidR="00A667A9" w:rsidRDefault="00A6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A9" w:rsidRDefault="00A667A9">
      <w:r>
        <w:separator/>
      </w:r>
    </w:p>
  </w:footnote>
  <w:footnote w:type="continuationSeparator" w:id="0">
    <w:p w:rsidR="00A667A9" w:rsidRDefault="00A667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74B76"/>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67A9"/>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24A86"/>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643C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C110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81709351">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802A7C-F039-47FB-A397-80266DA1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2022-12-05T13:38:00Z</cp:lastPrinted>
  <dcterms:created xsi:type="dcterms:W3CDTF">2022-12-05T13:39:00Z</dcterms:created>
  <dcterms:modified xsi:type="dcterms:W3CDTF">2022-12-07T13:43:00Z</dcterms:modified>
</cp:coreProperties>
</file>