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B28C8" w:rsidP="00107FC2">
            <w:pPr>
              <w:rPr>
                <w:sz w:val="28"/>
              </w:rPr>
            </w:pPr>
            <w:r>
              <w:rPr>
                <w:sz w:val="28"/>
              </w:rPr>
              <w:t>№ 152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B28C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05 »         05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6F13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D332A7" w:rsidRPr="00D332A7" w:rsidRDefault="00D332A7" w:rsidP="00D332A7">
      <w:pPr>
        <w:keepNext/>
        <w:suppressAutoHyphens/>
        <w:overflowPunct w:val="0"/>
        <w:autoSpaceDE w:val="0"/>
        <w:autoSpaceDN w:val="0"/>
        <w:spacing w:before="240" w:after="120"/>
        <w:ind w:right="4678"/>
        <w:textAlignment w:val="baseline"/>
        <w:outlineLvl w:val="0"/>
        <w:rPr>
          <w:kern w:val="3"/>
          <w:sz w:val="28"/>
          <w:szCs w:val="28"/>
        </w:rPr>
      </w:pPr>
      <w:r w:rsidRPr="00D332A7">
        <w:rPr>
          <w:kern w:val="3"/>
          <w:sz w:val="28"/>
          <w:szCs w:val="28"/>
        </w:rPr>
        <w:t>Об утверждении Порядка предоставления компенсационных выплат гражданам, имеющим детей, посещающих образовательные организации Мамадышского муниципального района, реализующие образовательную программу дошкольного образования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autoSpaceDN w:val="0"/>
        <w:spacing w:before="100" w:after="100"/>
        <w:ind w:firstLine="720"/>
        <w:jc w:val="both"/>
        <w:rPr>
          <w:sz w:val="28"/>
          <w:szCs w:val="28"/>
        </w:rPr>
      </w:pPr>
      <w:r w:rsidRPr="00D332A7">
        <w:rPr>
          <w:sz w:val="28"/>
          <w:szCs w:val="28"/>
        </w:rPr>
        <w:t xml:space="preserve">Во исполнении </w:t>
      </w:r>
      <w:hyperlink r:id="rId10" w:history="1">
        <w:r w:rsidRPr="00D332A7">
          <w:rPr>
            <w:color w:val="000000" w:themeColor="text1"/>
            <w:sz w:val="28"/>
            <w:szCs w:val="28"/>
          </w:rPr>
          <w:t>постановления правительства Российской Федерации от 3 мая 2024 года N 564 "Об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</w:t>
        </w:r>
      </w:hyperlink>
      <w:r w:rsidRPr="00D332A7">
        <w:rPr>
          <w:color w:val="000000" w:themeColor="text1"/>
          <w:sz w:val="28"/>
          <w:szCs w:val="28"/>
        </w:rPr>
        <w:t>, в целях оказания соци</w:t>
      </w:r>
      <w:r w:rsidRPr="00D332A7">
        <w:rPr>
          <w:sz w:val="28"/>
          <w:szCs w:val="28"/>
        </w:rPr>
        <w:t xml:space="preserve">альной поддержки семьям с детьми, посещающими образовательные организации, реализующие образовательную программу дошкольного образования, Исполнительный комитет Мамадышского муниципального района Республики Татарстан </w:t>
      </w:r>
    </w:p>
    <w:p w:rsidR="00D332A7" w:rsidRPr="00D332A7" w:rsidRDefault="00D332A7" w:rsidP="00D332A7">
      <w:pPr>
        <w:autoSpaceDN w:val="0"/>
        <w:spacing w:before="100" w:after="100"/>
        <w:ind w:firstLine="720"/>
        <w:jc w:val="both"/>
        <w:rPr>
          <w:sz w:val="28"/>
          <w:szCs w:val="28"/>
        </w:rPr>
      </w:pPr>
      <w:r w:rsidRPr="00D332A7">
        <w:rPr>
          <w:sz w:val="28"/>
          <w:szCs w:val="28"/>
        </w:rPr>
        <w:t>п о с т а н о в л я е т: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332A7">
        <w:rPr>
          <w:kern w:val="3"/>
          <w:sz w:val="28"/>
          <w:szCs w:val="28"/>
        </w:rPr>
        <w:t>1. Утвердить прилагаемый Порядок предоставления компенсационных выплат гражданам, имеющим детей, посещающих образовательные организации Мамадышского муниципального района, реализующие образовательную программу дошкольного образования (далее - Порядок).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332A7">
        <w:rPr>
          <w:kern w:val="3"/>
          <w:sz w:val="28"/>
          <w:szCs w:val="28"/>
        </w:rPr>
        <w:t>2. Финансово-бюджетной палате Мамадышского муниципального района осуществлять финансовое обеспечение расходов по выплате компенсации части родительской платы за присмотр и уход за ребенком в образовательных организациях Мамадышского муниципального района, реализующих образовательную программу дошкольного образования.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  <w:r w:rsidRPr="00D332A7">
        <w:rPr>
          <w:kern w:val="3"/>
          <w:sz w:val="28"/>
          <w:szCs w:val="28"/>
        </w:rPr>
        <w:t>3. Признать утратившими силу следующие постановления Исполнительного комитета Мамадышского муниципального района Республики Татарстан:</w:t>
      </w:r>
    </w:p>
    <w:p w:rsidR="00D332A7" w:rsidRPr="00D332A7" w:rsidRDefault="00D332A7" w:rsidP="00D332A7">
      <w:pPr>
        <w:autoSpaceDN w:val="0"/>
        <w:ind w:firstLine="720"/>
        <w:jc w:val="both"/>
        <w:rPr>
          <w:sz w:val="28"/>
          <w:szCs w:val="28"/>
        </w:rPr>
      </w:pPr>
      <w:r w:rsidRPr="00D332A7">
        <w:rPr>
          <w:sz w:val="28"/>
          <w:szCs w:val="28"/>
        </w:rPr>
        <w:t>- от 19 апреля 2021 года N 138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образования»;</w:t>
      </w:r>
    </w:p>
    <w:p w:rsidR="00D332A7" w:rsidRPr="00D332A7" w:rsidRDefault="00D332A7" w:rsidP="00D332A7">
      <w:pPr>
        <w:autoSpaceDN w:val="0"/>
        <w:ind w:firstLine="720"/>
        <w:jc w:val="both"/>
        <w:rPr>
          <w:sz w:val="28"/>
          <w:szCs w:val="28"/>
        </w:rPr>
      </w:pPr>
      <w:r w:rsidRPr="00D332A7">
        <w:rPr>
          <w:sz w:val="28"/>
          <w:szCs w:val="28"/>
        </w:rPr>
        <w:lastRenderedPageBreak/>
        <w:t>- от 01 февраля 2023 года N 31 «О внесении изменений в постановление от 19.04.2021 года N 138 "О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образования"»;</w:t>
      </w:r>
    </w:p>
    <w:p w:rsidR="00D332A7" w:rsidRPr="00D332A7" w:rsidRDefault="00D332A7" w:rsidP="00D332A7">
      <w:pPr>
        <w:autoSpaceDN w:val="0"/>
        <w:ind w:firstLine="720"/>
        <w:jc w:val="both"/>
        <w:rPr>
          <w:color w:val="000000" w:themeColor="text1"/>
          <w:sz w:val="28"/>
          <w:szCs w:val="28"/>
        </w:rPr>
      </w:pPr>
      <w:r w:rsidRPr="00D332A7">
        <w:rPr>
          <w:sz w:val="28"/>
          <w:szCs w:val="28"/>
        </w:rPr>
        <w:t xml:space="preserve">- от 1 марта 2023 года N 85 «О внесении </w:t>
      </w:r>
      <w:r w:rsidRPr="00D332A7">
        <w:rPr>
          <w:color w:val="000000" w:themeColor="text1"/>
          <w:sz w:val="28"/>
          <w:szCs w:val="28"/>
        </w:rPr>
        <w:t xml:space="preserve">изменений в </w:t>
      </w:r>
      <w:hyperlink r:id="rId11" w:history="1">
        <w:r w:rsidRPr="00D332A7">
          <w:rPr>
            <w:color w:val="000000" w:themeColor="text1"/>
            <w:sz w:val="28"/>
            <w:szCs w:val="28"/>
          </w:rPr>
          <w:t>постановление Исполнительного комитета Мамадышского муниципального района от 19.04.2021 N 138 "О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образования"</w:t>
        </w:r>
      </w:hyperlink>
      <w:r w:rsidRPr="00D332A7">
        <w:rPr>
          <w:color w:val="000000" w:themeColor="text1"/>
          <w:sz w:val="28"/>
          <w:szCs w:val="28"/>
        </w:rPr>
        <w:t>;</w:t>
      </w:r>
    </w:p>
    <w:p w:rsidR="00D332A7" w:rsidRPr="00D332A7" w:rsidRDefault="00D332A7" w:rsidP="00D332A7">
      <w:pPr>
        <w:autoSpaceDN w:val="0"/>
        <w:ind w:firstLine="720"/>
        <w:jc w:val="both"/>
        <w:rPr>
          <w:color w:val="000000" w:themeColor="text1"/>
          <w:sz w:val="28"/>
          <w:szCs w:val="28"/>
        </w:rPr>
      </w:pPr>
      <w:r w:rsidRPr="00D332A7">
        <w:rPr>
          <w:color w:val="000000" w:themeColor="text1"/>
          <w:sz w:val="28"/>
          <w:szCs w:val="28"/>
        </w:rPr>
        <w:t xml:space="preserve">- от 4 февраля 2025 года N 51 «О внесении изменений в </w:t>
      </w:r>
      <w:hyperlink r:id="rId12" w:history="1">
        <w:r w:rsidRPr="00D332A7">
          <w:rPr>
            <w:color w:val="000000" w:themeColor="text1"/>
            <w:sz w:val="28"/>
            <w:szCs w:val="28"/>
          </w:rPr>
          <w:t>постановление Исполнительного комитета Мамадышского муниципального района от 19.04.2021 N 138 "О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образования"</w:t>
        </w:r>
      </w:hyperlink>
      <w:r w:rsidRPr="00D332A7">
        <w:rPr>
          <w:color w:val="000000" w:themeColor="text1"/>
          <w:sz w:val="28"/>
          <w:szCs w:val="28"/>
        </w:rPr>
        <w:t>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  <w:sz w:val="28"/>
          <w:szCs w:val="28"/>
        </w:rPr>
      </w:pPr>
      <w:r w:rsidRPr="00D332A7">
        <w:rPr>
          <w:color w:val="000000" w:themeColor="text1"/>
          <w:kern w:val="3"/>
          <w:sz w:val="28"/>
          <w:szCs w:val="28"/>
        </w:rPr>
        <w:t>4. Опубликовать настоящее постановление на официальном портале правовой информации РТ (http://pravo.tatarstan.ru) и разместить на официальном сайте Мамадышского муниципального района Республики Татарстан (</w:t>
      </w:r>
      <w:hyperlink r:id="rId13" w:history="1">
        <w:r w:rsidRPr="00D332A7">
          <w:rPr>
            <w:color w:val="000000" w:themeColor="text1"/>
            <w:kern w:val="3"/>
            <w:sz w:val="28"/>
            <w:szCs w:val="28"/>
          </w:rPr>
          <w:t>http://</w:t>
        </w:r>
        <w:r w:rsidRPr="00D332A7">
          <w:rPr>
            <w:color w:val="000000" w:themeColor="text1"/>
            <w:kern w:val="3"/>
            <w:sz w:val="28"/>
            <w:szCs w:val="28"/>
            <w:lang w:val="en-US"/>
          </w:rPr>
          <w:t>mamadysh</w:t>
        </w:r>
        <w:r w:rsidRPr="00D332A7">
          <w:rPr>
            <w:color w:val="000000" w:themeColor="text1"/>
            <w:kern w:val="3"/>
            <w:sz w:val="28"/>
            <w:szCs w:val="28"/>
          </w:rPr>
          <w:t>.tatarstan.ru</w:t>
        </w:r>
      </w:hyperlink>
      <w:r w:rsidRPr="00D332A7">
        <w:rPr>
          <w:color w:val="000000" w:themeColor="text1"/>
          <w:kern w:val="3"/>
          <w:sz w:val="28"/>
          <w:szCs w:val="28"/>
        </w:rPr>
        <w:t>).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color w:val="000000" w:themeColor="text1"/>
          <w:kern w:val="3"/>
          <w:sz w:val="28"/>
          <w:szCs w:val="28"/>
        </w:rPr>
      </w:pPr>
      <w:r w:rsidRPr="00D332A7">
        <w:rPr>
          <w:color w:val="000000" w:themeColor="text1"/>
          <w:kern w:val="3"/>
          <w:sz w:val="28"/>
          <w:szCs w:val="28"/>
        </w:rPr>
        <w:t>5.Контроль за исполнением настоящего постановления оставляю за собой.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  <w:r w:rsidRPr="00D332A7">
        <w:rPr>
          <w:kern w:val="3"/>
          <w:sz w:val="28"/>
          <w:szCs w:val="28"/>
        </w:rPr>
        <w:t xml:space="preserve">Руководитель                                                                                      </w:t>
      </w:r>
      <w:r>
        <w:rPr>
          <w:kern w:val="3"/>
          <w:sz w:val="28"/>
          <w:szCs w:val="28"/>
        </w:rPr>
        <w:t xml:space="preserve">          </w:t>
      </w:r>
      <w:r w:rsidRPr="00D332A7">
        <w:rPr>
          <w:kern w:val="3"/>
          <w:sz w:val="28"/>
          <w:szCs w:val="28"/>
        </w:rPr>
        <w:t>А.М. Ефимов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left="6663"/>
        <w:textAlignment w:val="baseline"/>
        <w:rPr>
          <w:kern w:val="3"/>
        </w:rPr>
      </w:pPr>
      <w:r w:rsidRPr="00D332A7">
        <w:rPr>
          <w:kern w:val="3"/>
        </w:rPr>
        <w:lastRenderedPageBreak/>
        <w:t>Утвержден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left="6663"/>
        <w:textAlignment w:val="baseline"/>
        <w:rPr>
          <w:kern w:val="3"/>
        </w:rPr>
      </w:pPr>
      <w:r w:rsidRPr="00D332A7">
        <w:rPr>
          <w:kern w:val="3"/>
        </w:rPr>
        <w:t xml:space="preserve">постановлением Исполнительного комитета Мамадышского муниципального района 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left="6663"/>
        <w:textAlignment w:val="baseline"/>
        <w:rPr>
          <w:kern w:val="3"/>
        </w:rPr>
      </w:pPr>
      <w:r w:rsidRPr="00D332A7">
        <w:rPr>
          <w:kern w:val="3"/>
        </w:rPr>
        <w:t>Республики Татарстан</w:t>
      </w:r>
    </w:p>
    <w:p w:rsidR="00D332A7" w:rsidRPr="00D332A7" w:rsidRDefault="00AB28C8" w:rsidP="00D332A7">
      <w:pPr>
        <w:suppressAutoHyphens/>
        <w:overflowPunct w:val="0"/>
        <w:autoSpaceDE w:val="0"/>
        <w:autoSpaceDN w:val="0"/>
        <w:ind w:left="6663"/>
        <w:textAlignment w:val="baseline"/>
        <w:rPr>
          <w:kern w:val="3"/>
        </w:rPr>
      </w:pPr>
      <w:r>
        <w:rPr>
          <w:kern w:val="3"/>
        </w:rPr>
        <w:t>от   05.05. 2026 г. N 152</w:t>
      </w:r>
      <w:bookmarkStart w:id="0" w:name="_GoBack"/>
      <w:bookmarkEnd w:id="0"/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Порядок предоставления компенсационных выплат гражданам, имеющим детей, посещающих образовательные организации Мамадышского муниципального района, реализующие образовательную программу дошкольного образования</w:t>
      </w:r>
    </w:p>
    <w:p w:rsid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center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I. Общие положения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1.1. Настоящий Порядок определяет механизм назначения и выплаты компенсационных выплат гражданам, имеющим детей, посещающих образовательные организации Мамадышского муниципального района, реализующие образовательную программу дошкольного образования (далее - компенсация).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1.2. Компенсация назначается и выплачивается законному представителю (родителю, усыновителю, опекуну) или его уполномоченному лицу, заключившему договор с детским садом и внесшему родительскую плату за присмотр и уход за ребенком в соответствующее дошкольное образовательное учреждение, реализующее образовательную программу дошкольного образования (далее - заявитель), с учетом среднедушевого дохода семьи.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1.3. При определении права на получение компенсации среднедушевой доход семьи исчисляется по правилам, установленным постановлением Кабинета Министров Республики Татарстан от 03.12.2019 N 1095 "О выплате на приобретение лекарственных средств семьям, имеющим детей в возрасте до трех лет".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Среднедушевой доход семьи для назначения компенсации определяется за последние 12 календарных месяцев, предшествующих месяцу перед месяцем подачи заявления о назначении компенсации со всеми необходимыми документами (далее - расчетный период).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Среднемесячный совокупный доход семьи в расчетном периоде равен сумме среднемесячных доходов всех членов семьи.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Среднемесячный доход каждого члена семьи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1.4. При определении размера компенсации в составе семьи учитываются: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- 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- 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- проживающие в семье пасынки и падчерицы, если они не учтены в семье другого родителя; - дети, находящиеся под опекой в семьях граждан; - дети, воспитывающиеся в приемных семьях.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1.5. Не учитываются в составе семьи дети: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- в отношении которых оба родителя (в неполной семье - родитель) лишены родительских прав;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- находящиеся на полном государственном обеспечении.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1.6. Размер компенсации рассчитывается по формуле: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lastRenderedPageBreak/>
        <w:t>ДК = Ф x (100 - МДД) - К,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где: ДК - размер компенсации;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Ф -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Мамадышского муниципального района на соответствующий год;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МДД - 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К -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постановлением Кабинета Министров Республики Татарстан от 18.01.2007 N 9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3"/>
        <w:gridCol w:w="1531"/>
        <w:gridCol w:w="1417"/>
        <w:gridCol w:w="1814"/>
      </w:tblGrid>
      <w:tr w:rsidR="00D332A7" w:rsidRPr="00D332A7" w:rsidTr="00EE794F"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Величина дохода на одного члена семьи</w:t>
            </w:r>
          </w:p>
        </w:tc>
        <w:tc>
          <w:tcPr>
            <w:tcW w:w="4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D332A7" w:rsidRPr="00D332A7" w:rsidTr="00EE794F">
        <w:tc>
          <w:tcPr>
            <w:tcW w:w="54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на 1 ребенка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на 2 ребенка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на 3 ребенка и последующих детей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</w:p>
        </w:tc>
      </w:tr>
      <w:tr w:rsidR="00D332A7" w:rsidRPr="00D332A7" w:rsidTr="00EE794F">
        <w:tc>
          <w:tcPr>
            <w:tcW w:w="5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до величины прожиточного минимума на душу населения, установленного в Республике Татарстан на дату обращения (для семей, имеющих трех и более детей в возрасте до 18 лет)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0</w:t>
            </w:r>
          </w:p>
        </w:tc>
      </w:tr>
      <w:tr w:rsidR="00D332A7" w:rsidRPr="00D332A7" w:rsidTr="00EE794F"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до 10000 рублей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60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38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23</w:t>
            </w:r>
          </w:p>
        </w:tc>
      </w:tr>
      <w:tr w:rsidR="00D332A7" w:rsidRPr="00D332A7" w:rsidTr="00EE794F"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от 10001 до 15000 рублей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70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43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36</w:t>
            </w:r>
          </w:p>
        </w:tc>
      </w:tr>
      <w:tr w:rsidR="00D332A7" w:rsidRPr="00D332A7" w:rsidTr="00EE794F"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от 15001 до 20000 рублей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80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53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53</w:t>
            </w:r>
          </w:p>
        </w:tc>
      </w:tr>
      <w:tr w:rsidR="00D332A7" w:rsidRPr="00D332A7" w:rsidTr="00EE794F"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свыше 20000 рублей</w:t>
            </w: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100</w:t>
            </w:r>
          </w:p>
        </w:tc>
        <w:tc>
          <w:tcPr>
            <w:tcW w:w="18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2A7" w:rsidRPr="00D332A7" w:rsidRDefault="00D332A7" w:rsidP="00D332A7">
            <w:pPr>
              <w:suppressAutoHyphens/>
              <w:overflowPunct w:val="0"/>
              <w:autoSpaceDE w:val="0"/>
              <w:autoSpaceDN w:val="0"/>
              <w:ind w:firstLine="567"/>
              <w:jc w:val="both"/>
              <w:textAlignment w:val="baseline"/>
              <w:rPr>
                <w:kern w:val="3"/>
                <w:sz w:val="24"/>
                <w:szCs w:val="22"/>
              </w:rPr>
            </w:pPr>
            <w:r w:rsidRPr="00D332A7">
              <w:rPr>
                <w:kern w:val="3"/>
                <w:sz w:val="24"/>
                <w:szCs w:val="22"/>
              </w:rPr>
              <w:t>100</w:t>
            </w:r>
          </w:p>
        </w:tc>
      </w:tr>
    </w:tbl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II. Порядок назначения и выплаты компенсации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2.1. 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следующие документы (далее - отделение Центра):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заявление о назначении компенсации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 (далее - заявление);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копию свидетельства о рождении ребенка (детей) - в случае государственной регистрации акта рождения ребенка (детей) за пределами Республики Татарстан;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справку из общеобразовательной организации, находящейся на территории других субъектов Российской Федерации, из профессиональной образовательной организации и образовательной организации высшего образования, подтверждающую обучение ребенка (детей) в возрасте от шестнадцати до восемнадцати лет;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lastRenderedPageBreak/>
        <w:t>копию свидетельства о браке - в случае государственной регистрации заключения брака за пределами Республики Татарстан;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доверенность для доверенных лиц, оформленную в соответствии с гражданским законодательством Российской Федерации;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наличие согласия на обработку их персональных данных;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полномочие заявителя действовать от их имени при передаче персональных данных в орган или организацию.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113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Заявитель при обращении предъявляет документ, удостоверяющий личность.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2.2. 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компенсации: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государственной регистрации рождения детей - в случае регистрации акта рождения ребенка (детей) на территории Республики Татарстан;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государственной регистрации заключения брака - в случае государственной регистрации заключения брака на территории Республики Татарстан;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лишении родительских прав или ограничении в родительских правах;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сумме выплат и иных вознаграждений, начисленных в пользу физического лица работодателем (страхователем) из Фонда пенсионного и социального страхования Российской Федерации;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размерах пенсий, компенсационных выплат и дополнительного ежемесячного материального обеспечения пенсионеров, осуществляемых Фондом пенсионного и социального страхования Российской Федерации;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размере получаемой пенсии, выплачиваемой МВД России и Минобороны России;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размере пособия по временной нетрудоспособности;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размерах социальных выплат, осуществляемых органами социальной защиты;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 xml:space="preserve">сведения о размерах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</w:t>
      </w:r>
      <w:r w:rsidRPr="00D332A7">
        <w:rPr>
          <w:kern w:val="3"/>
          <w:sz w:val="24"/>
          <w:szCs w:val="22"/>
        </w:rPr>
        <w:lastRenderedPageBreak/>
        <w:t>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гражданах, зарегистрированных совместно с заявителем по месту постоянного жительства (временного пребывания);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прохождении обучения ребенка (детей) от шестнадцати до восемнадцати лет в общеобразовательной организации, находящейся на территории Республики Татарстан;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 подтверждении действительности паспорта заявителя - при обращении заявителя через Портал государственных и муниципальных услуг Республики Татарстан;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сведения об отсутствии (наличии) задолженности по налогам, сборам и иным платежам в бюджеты бюджетной системы Российской Федерации.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113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2.3. При наличии согласия граждан, указанных в пункте 1.2 настоящего Порядка, назначение компенсации производится на основании сведений о доходах членов семьи, имеющихся в Фонде пенсионного и социального страхования Российской Федерации за последние 12 календарных месяцев, предшествующих месяцу обращения за назначением компенсации".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2.4. 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2.5. Если заявитель входит в состав семьи получателя субсидии на оплату жилья и коммунальных услуг либо ежемесячного пособия на ребенка, то ранее назначенная компенсация по его заявлению может быть вновь назначена на период получения указанных выплат с учетом документов, представленных получателем субсидии на оплату жилья и коммунальных услуг либо ежемесячного пособия на ребенка.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2.6. 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2.7. Отделение Центра в течение десяти рабочих дней со дня регистрации заявления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"Портал государственных и муниципальных услуг Республики Татарстан").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2.8. Компенсация назначается с месяца подачи заявления со всеми необходимыми документами и выплачивается в течение шести месяцев.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2.9. При наличии у отделения Центра сведений, подтверждающих право заявителя на компенсацию, компенсация назначается ему на новый срок автоматически, без обращения гражданина.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2.10. 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III. Заключительные положения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3.1. 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3.2. 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 xml:space="preserve"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</w:t>
      </w:r>
      <w:r w:rsidRPr="00D332A7">
        <w:rPr>
          <w:kern w:val="3"/>
          <w:sz w:val="24"/>
          <w:szCs w:val="22"/>
        </w:rPr>
        <w:lastRenderedPageBreak/>
        <w:t>законодательством Российской Федерации и представляются с использованием электронных носителей и (или) информационно-телекоммуникационных сетей общего пользования, включая сеть "Интернет".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от заявителей, у которых есть дети, свидетельство о рождении которых выдано за пределами Республики Татарстан; от заявителей, не состоящих в браке с отцом (матерью) всех своих детей и не являющиеся одинокими матерями; от заявителей, брак которых был заключен за пределами территории Республики Татарстан; от заявителей, в случае, если у нее (-го) и (или) у его членов семьи имеются доходы, сведения о которых отсутствуют в Фонде пенсионного и социального страхования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хозяйства).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3.3. Отделение Центра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В случае проведения дополнительной проверки представленных заявителем сведений окончательный ответ о назначении либо об отказе в назначении компенсации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3.4. Сумма компенсации перечисляется на банковский счет заявителя.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3.5. Перечисление компенсации на банковские счета и доставка почтовой 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3.6. Граждане обязаны извещать отделение Центра о наступлении обстоятельств, влекущих прекращение назначенной (назначаемой) выплаты компенсации (смена образовательной организации, лишение родительских прав или ограничение в родительских правах, смерть заявителя и/или ребенка, на которого предоставляется компенсация), не позднее одного месяца с момента наступления таких обстоятельств.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3.7. 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3.8. Сумма компенсации, неправомерно выплаченная получателям, в том числе вследствие представления документов с неверными сведениями, сокрытия данных, влияющих на право назначения указанной выплаты, счетной ошибки, подлежат возмещению получателями в полном объеме путем внесения на казначейский счет Центра или за счет будущих сумм компенсации, а в случае отказа заявителя подлежат взысканию в соответствии с законодательством Российской Федерации.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3.9. Сумма компенсации, причитавшееся получателю и не выплаченное своевременно по вине отделения Центра, выплачивается за прошедшее время без ограничения каким-либо сроком.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3.10. Сумма компенсации, назначенной получателю, не выплаченный получателю при жизни, включаются в состав наследства и наследуется на общих основаниях, установленных законодательством Российской Федерации.</w:t>
      </w:r>
    </w:p>
    <w:p w:rsidR="00D332A7" w:rsidRPr="00D332A7" w:rsidRDefault="00D332A7" w:rsidP="00D332A7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4"/>
          <w:szCs w:val="22"/>
        </w:rPr>
      </w:pPr>
      <w:r w:rsidRPr="00D332A7">
        <w:rPr>
          <w:kern w:val="3"/>
          <w:sz w:val="24"/>
          <w:szCs w:val="22"/>
        </w:rPr>
        <w:t>3.11. Споры по вопросам предоставления компенсации разрешаются в судебном порядке.</w:t>
      </w:r>
    </w:p>
    <w:sectPr w:rsidR="00D332A7" w:rsidRPr="00D332A7" w:rsidSect="00D332A7">
      <w:pgSz w:w="11905" w:h="16837"/>
      <w:pgMar w:top="1134" w:right="423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80" w:rsidRDefault="00574080">
      <w:r>
        <w:separator/>
      </w:r>
    </w:p>
  </w:endnote>
  <w:endnote w:type="continuationSeparator" w:id="0">
    <w:p w:rsidR="00574080" w:rsidRDefault="0057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80" w:rsidRDefault="00574080">
      <w:r>
        <w:separator/>
      </w:r>
    </w:p>
  </w:footnote>
  <w:footnote w:type="continuationSeparator" w:id="0">
    <w:p w:rsidR="00574080" w:rsidRDefault="0057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786CDC"/>
    <w:multiLevelType w:val="hybridMultilevel"/>
    <w:tmpl w:val="C300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335A3FE0"/>
    <w:multiLevelType w:val="multilevel"/>
    <w:tmpl w:val="90A813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684" w:hanging="720"/>
      </w:pPr>
    </w:lvl>
    <w:lvl w:ilvl="3">
      <w:start w:val="1"/>
      <w:numFmt w:val="decimal"/>
      <w:lvlText w:val="%1.%2.%3.%4."/>
      <w:lvlJc w:val="left"/>
      <w:pPr>
        <w:ind w:left="2526" w:hanging="1080"/>
      </w:pPr>
    </w:lvl>
    <w:lvl w:ilvl="4">
      <w:start w:val="1"/>
      <w:numFmt w:val="decimal"/>
      <w:lvlText w:val="%1.%2.%3.%4.%5."/>
      <w:lvlJc w:val="left"/>
      <w:pPr>
        <w:ind w:left="3008" w:hanging="1080"/>
      </w:pPr>
    </w:lvl>
    <w:lvl w:ilvl="5">
      <w:start w:val="1"/>
      <w:numFmt w:val="decimal"/>
      <w:lvlText w:val="%1.%2.%3.%4.%5.%6."/>
      <w:lvlJc w:val="left"/>
      <w:pPr>
        <w:ind w:left="3850" w:hanging="1440"/>
      </w:pPr>
    </w:lvl>
    <w:lvl w:ilvl="6">
      <w:start w:val="1"/>
      <w:numFmt w:val="decimal"/>
      <w:lvlText w:val="%1.%2.%3.%4.%5.%6.%7."/>
      <w:lvlJc w:val="left"/>
      <w:pPr>
        <w:ind w:left="4692" w:hanging="1800"/>
      </w:pPr>
    </w:lvl>
    <w:lvl w:ilvl="7">
      <w:start w:val="1"/>
      <w:numFmt w:val="decimal"/>
      <w:lvlText w:val="%1.%2.%3.%4.%5.%6.%7.%8."/>
      <w:lvlJc w:val="left"/>
      <w:pPr>
        <w:ind w:left="5174" w:hanging="1800"/>
      </w:pPr>
    </w:lvl>
    <w:lvl w:ilvl="8">
      <w:start w:val="1"/>
      <w:numFmt w:val="decimal"/>
      <w:lvlText w:val="%1.%2.%3.%4.%5.%6.%7.%8.%9."/>
      <w:lvlJc w:val="left"/>
      <w:pPr>
        <w:ind w:left="6016" w:hanging="2160"/>
      </w:pPr>
    </w:lvl>
  </w:abstractNum>
  <w:abstractNum w:abstractNumId="10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847C00"/>
    <w:multiLevelType w:val="hybridMultilevel"/>
    <w:tmpl w:val="9446A754"/>
    <w:numStyleLink w:val="7"/>
  </w:abstractNum>
  <w:abstractNum w:abstractNumId="14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44F6E9E"/>
    <w:multiLevelType w:val="hybridMultilevel"/>
    <w:tmpl w:val="7820FD30"/>
    <w:numStyleLink w:val="4"/>
  </w:abstractNum>
  <w:abstractNum w:abstractNumId="2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8CF7901"/>
    <w:multiLevelType w:val="hybridMultilevel"/>
    <w:tmpl w:val="CECC03B4"/>
    <w:numStyleLink w:val="20"/>
  </w:abstractNum>
  <w:abstractNum w:abstractNumId="25" w15:restartNumberingAfterBreak="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24"/>
  </w:num>
  <w:num w:numId="5">
    <w:abstractNumId w:val="20"/>
  </w:num>
  <w:num w:numId="6">
    <w:abstractNumId w:val="1"/>
  </w:num>
  <w:num w:numId="7">
    <w:abstractNumId w:val="22"/>
  </w:num>
  <w:num w:numId="8">
    <w:abstractNumId w:val="21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8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A6F13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74080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27DF3"/>
    <w:rsid w:val="007308EE"/>
    <w:rsid w:val="00735827"/>
    <w:rsid w:val="0074413C"/>
    <w:rsid w:val="00744812"/>
    <w:rsid w:val="007458F2"/>
    <w:rsid w:val="007610CF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D473A"/>
    <w:rsid w:val="009E4D09"/>
    <w:rsid w:val="009E4EC8"/>
    <w:rsid w:val="009F6292"/>
    <w:rsid w:val="009F7799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96743"/>
    <w:rsid w:val="00AA6D11"/>
    <w:rsid w:val="00AA7818"/>
    <w:rsid w:val="00AB114F"/>
    <w:rsid w:val="00AB28C8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B7464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2A7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661B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338D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73A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6039561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6039561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1305914892&amp;mark=0000000000000000000000000000000000000000000000000064S0I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8F9E42-C8AD-4236-A638-47A06CA8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2026-05-05T05:49:00Z</cp:lastPrinted>
  <dcterms:created xsi:type="dcterms:W3CDTF">2026-05-05T05:51:00Z</dcterms:created>
  <dcterms:modified xsi:type="dcterms:W3CDTF">2026-05-06T07:45:00Z</dcterms:modified>
</cp:coreProperties>
</file>