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9228B" w:rsidP="00107FC2">
            <w:pPr>
              <w:rPr>
                <w:sz w:val="28"/>
              </w:rPr>
            </w:pPr>
            <w:r>
              <w:rPr>
                <w:sz w:val="28"/>
              </w:rPr>
              <w:t>№ 118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9228B" w:rsidP="00330CA2">
            <w:pPr>
              <w:rPr>
                <w:sz w:val="28"/>
              </w:rPr>
            </w:pPr>
            <w:r>
              <w:rPr>
                <w:sz w:val="28"/>
              </w:rPr>
              <w:t xml:space="preserve">от «14»      04           </w:t>
            </w:r>
            <w:r w:rsidR="00023909">
              <w:rPr>
                <w:sz w:val="28"/>
              </w:rPr>
              <w:t>202</w:t>
            </w:r>
            <w:r w:rsidR="00330CA2">
              <w:rPr>
                <w:sz w:val="28"/>
                <w:lang w:val="tt-RU"/>
              </w:rPr>
              <w:t>6</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CD67FF" w:rsidP="00CD67FF">
            <w:pPr>
              <w:widowControl w:val="0"/>
              <w:autoSpaceDE w:val="0"/>
              <w:autoSpaceDN w:val="0"/>
              <w:adjustRightInd w:val="0"/>
              <w:jc w:val="both"/>
              <w:rPr>
                <w:bCs/>
                <w:sz w:val="28"/>
                <w:szCs w:val="28"/>
              </w:rPr>
            </w:pPr>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0CA2">
              <w:rPr>
                <w:bCs/>
                <w:sz w:val="28"/>
                <w:szCs w:val="28"/>
                <w:lang w:val="tt-RU"/>
              </w:rPr>
              <w:t>6</w:t>
            </w:r>
            <w:r w:rsidRPr="004C68A9">
              <w:rPr>
                <w:bCs/>
                <w:sz w:val="28"/>
                <w:szCs w:val="28"/>
              </w:rPr>
              <w:t xml:space="preserve"> год </w:t>
            </w:r>
          </w:p>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4C68A9" w:rsidP="001A187C">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w:t>
      </w:r>
      <w:r w:rsidR="000262BD">
        <w:rPr>
          <w:sz w:val="28"/>
          <w:szCs w:val="28"/>
        </w:rPr>
        <w:t>16</w:t>
      </w:r>
      <w:r w:rsidRPr="00DD2E36">
        <w:rPr>
          <w:sz w:val="28"/>
          <w:szCs w:val="28"/>
        </w:rPr>
        <w:t xml:space="preserve"> </w:t>
      </w:r>
      <w:r w:rsidR="000262BD">
        <w:rPr>
          <w:sz w:val="28"/>
          <w:szCs w:val="28"/>
        </w:rPr>
        <w:t>марта</w:t>
      </w:r>
      <w:r w:rsidRPr="00DD2E36">
        <w:rPr>
          <w:sz w:val="28"/>
          <w:szCs w:val="28"/>
        </w:rPr>
        <w:t xml:space="preserve"> 2015</w:t>
      </w:r>
      <w:r w:rsidRPr="004C68A9">
        <w:rPr>
          <w:sz w:val="28"/>
          <w:szCs w:val="28"/>
        </w:rPr>
        <w:t xml:space="preserve">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w:t>
      </w:r>
      <w:r w:rsidR="000369C2">
        <w:rPr>
          <w:sz w:val="28"/>
          <w:szCs w:val="28"/>
        </w:rPr>
        <w:t>п</w:t>
      </w:r>
      <w:r w:rsidRPr="004C68A9">
        <w:rPr>
          <w:sz w:val="28"/>
          <w:szCs w:val="28"/>
        </w:rPr>
        <w:t xml:space="preserve">остановлением </w:t>
      </w:r>
      <w:r w:rsidR="001A187C">
        <w:rPr>
          <w:sz w:val="28"/>
          <w:szCs w:val="28"/>
        </w:rPr>
        <w:t>И</w:t>
      </w:r>
      <w:r w:rsidRPr="004C68A9">
        <w:rPr>
          <w:sz w:val="28"/>
          <w:szCs w:val="28"/>
        </w:rPr>
        <w:t xml:space="preserve">сполнительного комитета </w:t>
      </w:r>
      <w:r w:rsidRPr="001A187C">
        <w:rPr>
          <w:sz w:val="28"/>
          <w:szCs w:val="28"/>
        </w:rPr>
        <w:t>Мамадышского муниципального района от 05.05.2021 № 159 «Об учетной норме</w:t>
      </w:r>
      <w:r w:rsidRPr="004C68A9">
        <w:rPr>
          <w:sz w:val="28"/>
          <w:szCs w:val="28"/>
        </w:rPr>
        <w:t xml:space="preserve">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w:t>
      </w:r>
      <w:r w:rsidR="000369C2">
        <w:rPr>
          <w:sz w:val="28"/>
          <w:szCs w:val="28"/>
        </w:rPr>
        <w:t>п</w:t>
      </w:r>
      <w:r w:rsidRPr="004C68A9">
        <w:rPr>
          <w:sz w:val="28"/>
          <w:szCs w:val="28"/>
        </w:rPr>
        <w:t xml:space="preserve">остановлением </w:t>
      </w:r>
      <w:r w:rsidR="001A187C">
        <w:rPr>
          <w:sz w:val="28"/>
          <w:szCs w:val="28"/>
        </w:rPr>
        <w:t>И</w:t>
      </w:r>
      <w:r w:rsidRPr="004C68A9">
        <w:rPr>
          <w:sz w:val="28"/>
          <w:szCs w:val="28"/>
        </w:rPr>
        <w:t xml:space="preserve">сполнительного комитета Мамадышского муниципального района от </w:t>
      </w:r>
      <w:r w:rsidR="00330CA2">
        <w:rPr>
          <w:sz w:val="28"/>
          <w:szCs w:val="28"/>
          <w:lang w:val="tt-RU"/>
        </w:rPr>
        <w:t>16.03.2026</w:t>
      </w:r>
      <w:r w:rsidRPr="00957388">
        <w:rPr>
          <w:sz w:val="28"/>
          <w:szCs w:val="28"/>
        </w:rPr>
        <w:t xml:space="preserve"> № </w:t>
      </w:r>
      <w:r w:rsidR="00330CA2">
        <w:rPr>
          <w:sz w:val="28"/>
          <w:szCs w:val="28"/>
          <w:lang w:val="tt-RU"/>
        </w:rPr>
        <w:t>77</w:t>
      </w:r>
      <w:r w:rsidRPr="004C68A9">
        <w:rPr>
          <w:sz w:val="28"/>
          <w:szCs w:val="28"/>
        </w:rPr>
        <w:t xml:space="preserve"> «Об утверждении норматива стоимости 1 кв.м. общей площади жилья по Мамадышскому муниципальному району</w:t>
      </w:r>
      <w:r w:rsidR="008C266A">
        <w:rPr>
          <w:sz w:val="28"/>
          <w:szCs w:val="28"/>
        </w:rPr>
        <w:t xml:space="preserve">» </w:t>
      </w:r>
      <w:r w:rsidRPr="004C68A9">
        <w:rPr>
          <w:sz w:val="28"/>
          <w:szCs w:val="28"/>
        </w:rPr>
        <w:t xml:space="preserve">с оценкой НП  «Союз оценщиков Республики Татарстан» № </w:t>
      </w:r>
      <w:r w:rsidR="00330CA2">
        <w:rPr>
          <w:sz w:val="28"/>
          <w:szCs w:val="28"/>
          <w:lang w:val="tt-RU"/>
        </w:rPr>
        <w:t>46</w:t>
      </w:r>
      <w:r w:rsidRPr="004C68A9">
        <w:rPr>
          <w:sz w:val="28"/>
          <w:szCs w:val="28"/>
        </w:rPr>
        <w:t xml:space="preserve"> от </w:t>
      </w:r>
      <w:r w:rsidR="00330CA2">
        <w:rPr>
          <w:sz w:val="28"/>
          <w:szCs w:val="28"/>
          <w:lang w:val="tt-RU"/>
        </w:rPr>
        <w:t>12.02.2026</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1A187C">
      <w:pPr>
        <w:keepLines/>
        <w:ind w:firstLine="709"/>
        <w:jc w:val="both"/>
        <w:rPr>
          <w:sz w:val="28"/>
          <w:szCs w:val="28"/>
        </w:rPr>
      </w:pPr>
      <w:r w:rsidRPr="004C68A9">
        <w:rPr>
          <w:sz w:val="28"/>
          <w:szCs w:val="28"/>
        </w:rPr>
        <w:t>п о с т а н о в л я е т:</w:t>
      </w:r>
    </w:p>
    <w:p w:rsidR="004C68A9" w:rsidRPr="004C68A9" w:rsidRDefault="004C68A9" w:rsidP="001A187C">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0CA2">
        <w:rPr>
          <w:sz w:val="28"/>
          <w:szCs w:val="28"/>
          <w:lang w:val="tt-RU"/>
        </w:rPr>
        <w:t>6</w:t>
      </w:r>
      <w:r w:rsidRPr="004C68A9">
        <w:rPr>
          <w:sz w:val="28"/>
          <w:szCs w:val="28"/>
        </w:rPr>
        <w:t xml:space="preserve"> год:</w:t>
      </w:r>
    </w:p>
    <w:p w:rsidR="004C68A9" w:rsidRPr="004C68A9" w:rsidRDefault="004C68A9" w:rsidP="001A187C">
      <w:pPr>
        <w:keepLines/>
        <w:ind w:firstLine="709"/>
        <w:jc w:val="both"/>
        <w:rPr>
          <w:sz w:val="28"/>
          <w:szCs w:val="28"/>
        </w:rPr>
      </w:pPr>
      <w:r w:rsidRPr="004C68A9">
        <w:rPr>
          <w:sz w:val="28"/>
          <w:szCs w:val="28"/>
        </w:rPr>
        <w:t xml:space="preserve">1.1. Максимальное значение размера дохода, приходящегося на каждого члена </w:t>
      </w:r>
      <w:r w:rsidR="001A187C" w:rsidRPr="004C68A9">
        <w:rPr>
          <w:sz w:val="28"/>
          <w:szCs w:val="28"/>
        </w:rPr>
        <w:t>семьи или</w:t>
      </w:r>
      <w:r w:rsidRPr="004C68A9">
        <w:rPr>
          <w:sz w:val="28"/>
          <w:szCs w:val="28"/>
        </w:rPr>
        <w:t xml:space="preserve"> одиноко проживающего гражданина</w:t>
      </w:r>
      <w:r w:rsidRPr="00AB4548">
        <w:rPr>
          <w:sz w:val="28"/>
          <w:szCs w:val="28"/>
        </w:rPr>
        <w:t xml:space="preserve">: </w:t>
      </w:r>
      <w:r w:rsidR="003B09CA">
        <w:rPr>
          <w:sz w:val="28"/>
          <w:szCs w:val="28"/>
          <w:lang w:val="tt-RU"/>
        </w:rPr>
        <w:t>25583,40</w:t>
      </w:r>
      <w:r w:rsidR="00B51E51">
        <w:rPr>
          <w:sz w:val="28"/>
          <w:szCs w:val="28"/>
        </w:rPr>
        <w:t xml:space="preserve"> </w:t>
      </w:r>
      <w:r w:rsidRPr="004C68A9">
        <w:rPr>
          <w:sz w:val="28"/>
          <w:szCs w:val="28"/>
        </w:rPr>
        <w:t>рублей;</w:t>
      </w:r>
    </w:p>
    <w:p w:rsidR="004C68A9" w:rsidRPr="004C68A9" w:rsidRDefault="004C68A9" w:rsidP="001A187C">
      <w:pPr>
        <w:keepLines/>
        <w:ind w:firstLine="709"/>
        <w:jc w:val="both"/>
        <w:rPr>
          <w:sz w:val="28"/>
          <w:szCs w:val="28"/>
        </w:rPr>
      </w:pPr>
      <w:r w:rsidRPr="004C68A9">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6B3C91" w:rsidRPr="00F33D1A" w:rsidRDefault="004C68A9" w:rsidP="006B3C91">
      <w:pPr>
        <w:spacing w:line="276" w:lineRule="auto"/>
        <w:ind w:firstLine="709"/>
        <w:jc w:val="both"/>
        <w:rPr>
          <w:sz w:val="28"/>
          <w:szCs w:val="28"/>
          <w:lang w:eastAsia="en-US"/>
        </w:rPr>
      </w:pPr>
      <w:r w:rsidRPr="004C68A9">
        <w:rPr>
          <w:sz w:val="28"/>
          <w:szCs w:val="28"/>
        </w:rPr>
        <w:t xml:space="preserve">1.2.1 для одиноко проживающего человека – </w:t>
      </w:r>
      <w:r w:rsidR="003B09CA">
        <w:rPr>
          <w:sz w:val="28"/>
          <w:szCs w:val="28"/>
          <w:lang w:eastAsia="en-US"/>
        </w:rPr>
        <w:t>1 </w:t>
      </w:r>
      <w:r w:rsidR="003B09CA">
        <w:rPr>
          <w:sz w:val="28"/>
          <w:szCs w:val="28"/>
          <w:lang w:val="tt-RU" w:eastAsia="en-US"/>
        </w:rPr>
        <w:t>023 966</w:t>
      </w:r>
      <w:r w:rsidR="003B09CA" w:rsidRPr="00F33D1A">
        <w:rPr>
          <w:sz w:val="28"/>
          <w:szCs w:val="28"/>
          <w:lang w:eastAsia="en-US"/>
        </w:rPr>
        <w:t xml:space="preserve"> </w:t>
      </w:r>
      <w:r w:rsidR="006B3C91" w:rsidRPr="00F33D1A">
        <w:rPr>
          <w:sz w:val="28"/>
          <w:szCs w:val="28"/>
          <w:lang w:eastAsia="en-US"/>
        </w:rPr>
        <w:t>рублей</w:t>
      </w:r>
      <w:r w:rsidR="006B3C91">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1.2.2 для семьи из двух человек – </w:t>
      </w:r>
      <w:r w:rsidR="006B3C91">
        <w:rPr>
          <w:sz w:val="28"/>
          <w:szCs w:val="28"/>
          <w:lang w:eastAsia="en-US"/>
        </w:rPr>
        <w:t>2</w:t>
      </w:r>
      <w:r w:rsidR="003B09CA">
        <w:rPr>
          <w:sz w:val="28"/>
          <w:szCs w:val="28"/>
          <w:lang w:eastAsia="en-US"/>
        </w:rPr>
        <w:t> </w:t>
      </w:r>
      <w:r w:rsidR="003B09CA">
        <w:rPr>
          <w:sz w:val="28"/>
          <w:szCs w:val="28"/>
          <w:lang w:val="tt-RU" w:eastAsia="en-US"/>
        </w:rPr>
        <w:t>047 932</w:t>
      </w:r>
      <w:r w:rsidR="006B3C91">
        <w:rPr>
          <w:sz w:val="28"/>
          <w:szCs w:val="28"/>
          <w:lang w:eastAsia="en-US"/>
        </w:rPr>
        <w:t xml:space="preserve">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для семьи из трех человек – </w:t>
      </w:r>
      <w:r w:rsidR="003B09CA">
        <w:rPr>
          <w:sz w:val="28"/>
          <w:szCs w:val="28"/>
          <w:lang w:val="tt-RU" w:eastAsia="en-US"/>
        </w:rPr>
        <w:t>3 071 898</w:t>
      </w:r>
      <w:r w:rsidR="006B3C91" w:rsidRPr="006B3C91">
        <w:rPr>
          <w:sz w:val="28"/>
          <w:szCs w:val="28"/>
          <w:lang w:eastAsia="en-US"/>
        </w:rPr>
        <w:t xml:space="preserve"> </w:t>
      </w:r>
      <w:r w:rsidR="000369C2" w:rsidRPr="00F33D1A">
        <w:rPr>
          <w:sz w:val="28"/>
          <w:szCs w:val="28"/>
          <w:lang w:eastAsia="en-US"/>
        </w:rPr>
        <w:t>рублей</w:t>
      </w:r>
      <w:r w:rsidR="000369C2">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1.2.4 для семьи из четырех человек – </w:t>
      </w:r>
      <w:r w:rsidR="006B3C91">
        <w:rPr>
          <w:sz w:val="28"/>
          <w:szCs w:val="28"/>
          <w:lang w:eastAsia="en-US"/>
        </w:rPr>
        <w:t>4 </w:t>
      </w:r>
      <w:r w:rsidR="003B09CA">
        <w:rPr>
          <w:sz w:val="28"/>
          <w:szCs w:val="28"/>
          <w:lang w:val="tt-RU" w:eastAsia="en-US"/>
        </w:rPr>
        <w:t>095 864</w:t>
      </w:r>
      <w:r w:rsidR="006B3C91"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1.2.5 для семьи из пяти человек – </w:t>
      </w:r>
      <w:r w:rsidR="003B09CA">
        <w:rPr>
          <w:sz w:val="28"/>
          <w:szCs w:val="28"/>
          <w:lang w:val="tt-RU" w:eastAsia="en-US"/>
        </w:rPr>
        <w:t>5 119 830</w:t>
      </w:r>
      <w:r w:rsidR="003B09C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1.2.6 для семьи из шести человек – </w:t>
      </w:r>
      <w:r w:rsidR="003B09CA">
        <w:rPr>
          <w:sz w:val="28"/>
          <w:szCs w:val="28"/>
          <w:lang w:eastAsia="en-US"/>
        </w:rPr>
        <w:t>6 </w:t>
      </w:r>
      <w:r w:rsidR="003B09CA">
        <w:rPr>
          <w:sz w:val="28"/>
          <w:szCs w:val="28"/>
          <w:lang w:val="tt-RU" w:eastAsia="en-US"/>
        </w:rPr>
        <w:t>143 796</w:t>
      </w:r>
      <w:r w:rsidR="003B09CA" w:rsidRPr="00F33D1A">
        <w:rPr>
          <w:sz w:val="28"/>
          <w:szCs w:val="28"/>
          <w:lang w:eastAsia="en-US"/>
        </w:rPr>
        <w:t xml:space="preserve">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для семьи из семи человек – </w:t>
      </w:r>
      <w:r w:rsidR="003B09CA">
        <w:rPr>
          <w:sz w:val="28"/>
          <w:szCs w:val="28"/>
          <w:lang w:eastAsia="en-US"/>
        </w:rPr>
        <w:t>7 </w:t>
      </w:r>
      <w:r w:rsidR="003B09CA">
        <w:rPr>
          <w:sz w:val="28"/>
          <w:szCs w:val="28"/>
          <w:lang w:val="tt-RU" w:eastAsia="en-US"/>
        </w:rPr>
        <w:t>167 762</w:t>
      </w:r>
      <w:r w:rsidR="003B09C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1.2.8 для семьи из восьми человек – </w:t>
      </w:r>
      <w:r w:rsidR="003B09CA">
        <w:rPr>
          <w:sz w:val="28"/>
          <w:szCs w:val="28"/>
          <w:lang w:eastAsia="en-US"/>
        </w:rPr>
        <w:t>8 </w:t>
      </w:r>
      <w:r w:rsidR="003B09CA">
        <w:rPr>
          <w:sz w:val="28"/>
          <w:szCs w:val="28"/>
          <w:lang w:val="tt-RU" w:eastAsia="en-US"/>
        </w:rPr>
        <w:t>191 728</w:t>
      </w:r>
      <w:r w:rsidR="003B09CA">
        <w:rPr>
          <w:sz w:val="28"/>
          <w:szCs w:val="28"/>
          <w:lang w:eastAsia="en-US"/>
        </w:rPr>
        <w:t xml:space="preserve"> </w:t>
      </w:r>
      <w:r w:rsidRPr="004C68A9">
        <w:rPr>
          <w:sz w:val="28"/>
          <w:szCs w:val="28"/>
        </w:rPr>
        <w:t>рублей.</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1A187C">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3B09CA" w:rsidRDefault="004C68A9" w:rsidP="001A187C">
      <w:pPr>
        <w:tabs>
          <w:tab w:val="left" w:pos="0"/>
        </w:tabs>
        <w:ind w:firstLine="720"/>
        <w:jc w:val="both"/>
        <w:rPr>
          <w:sz w:val="28"/>
          <w:szCs w:val="28"/>
          <w:lang w:val="tt-RU"/>
        </w:rPr>
      </w:pPr>
      <w:r w:rsidRPr="004C68A9">
        <w:rPr>
          <w:sz w:val="28"/>
          <w:szCs w:val="28"/>
        </w:rPr>
        <w:t>4. Контроль за исполнением настоящего постановления возложи</w:t>
      </w:r>
      <w:r>
        <w:rPr>
          <w:sz w:val="28"/>
          <w:szCs w:val="28"/>
        </w:rPr>
        <w:t xml:space="preserve">ть на </w:t>
      </w:r>
      <w:r w:rsidR="000D669E">
        <w:rPr>
          <w:sz w:val="28"/>
          <w:szCs w:val="28"/>
        </w:rPr>
        <w:t xml:space="preserve">первого заместителя </w:t>
      </w:r>
      <w:r>
        <w:rPr>
          <w:sz w:val="28"/>
          <w:szCs w:val="28"/>
        </w:rPr>
        <w:t>руководителя И</w:t>
      </w:r>
      <w:r w:rsidRPr="004C68A9">
        <w:rPr>
          <w:sz w:val="28"/>
          <w:szCs w:val="28"/>
        </w:rPr>
        <w:t xml:space="preserve">сполнительного комитета Мамадышского муниципального района </w:t>
      </w:r>
      <w:r w:rsidR="000D669E">
        <w:rPr>
          <w:sz w:val="28"/>
          <w:szCs w:val="28"/>
          <w:lang w:val="tt-RU"/>
        </w:rPr>
        <w:t>Р.М.Никифорова</w:t>
      </w:r>
    </w:p>
    <w:p w:rsidR="004C68A9" w:rsidRPr="004C68A9" w:rsidRDefault="004C68A9" w:rsidP="004C68A9">
      <w:pPr>
        <w:spacing w:before="100"/>
        <w:ind w:firstLine="540"/>
        <w:jc w:val="both"/>
        <w:rPr>
          <w:sz w:val="28"/>
          <w:szCs w:val="28"/>
        </w:rPr>
      </w:pPr>
    </w:p>
    <w:p w:rsidR="003B09CA" w:rsidRDefault="003B09CA" w:rsidP="004C68A9">
      <w:pPr>
        <w:jc w:val="both"/>
        <w:rPr>
          <w:sz w:val="28"/>
          <w:szCs w:val="28"/>
        </w:rPr>
      </w:pPr>
    </w:p>
    <w:p w:rsidR="004C68A9" w:rsidRPr="004C68A9" w:rsidRDefault="003B09CA" w:rsidP="00F7534A">
      <w:pPr>
        <w:rPr>
          <w:sz w:val="28"/>
          <w:szCs w:val="28"/>
        </w:rPr>
      </w:pPr>
      <w:r>
        <w:rPr>
          <w:sz w:val="28"/>
          <w:szCs w:val="28"/>
          <w:lang w:val="tt-RU"/>
        </w:rPr>
        <w:t>Р</w:t>
      </w:r>
      <w:r w:rsidR="00555CB2">
        <w:rPr>
          <w:sz w:val="28"/>
          <w:szCs w:val="28"/>
        </w:rPr>
        <w:t>уководител</w:t>
      </w:r>
      <w:r>
        <w:rPr>
          <w:sz w:val="28"/>
          <w:szCs w:val="28"/>
        </w:rPr>
        <w:t>ь</w:t>
      </w:r>
      <w:r w:rsidR="004C68A9" w:rsidRPr="004C68A9">
        <w:rPr>
          <w:sz w:val="28"/>
          <w:szCs w:val="28"/>
        </w:rPr>
        <w:t xml:space="preserve">                                                            </w:t>
      </w:r>
      <w:r w:rsidR="00332204">
        <w:rPr>
          <w:sz w:val="28"/>
          <w:szCs w:val="28"/>
        </w:rPr>
        <w:t xml:space="preserve">    </w:t>
      </w:r>
      <w:r w:rsidR="004C68A9" w:rsidRPr="004C68A9">
        <w:rPr>
          <w:sz w:val="28"/>
          <w:szCs w:val="28"/>
        </w:rPr>
        <w:t xml:space="preserve"> </w:t>
      </w:r>
      <w:r w:rsidR="00F7534A">
        <w:rPr>
          <w:sz w:val="28"/>
          <w:szCs w:val="28"/>
        </w:rPr>
        <w:t xml:space="preserve">                               </w:t>
      </w:r>
      <w:r>
        <w:rPr>
          <w:sz w:val="28"/>
          <w:szCs w:val="28"/>
        </w:rPr>
        <w:t>А.М.Ефимов</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Default="004C68A9" w:rsidP="004C68A9">
      <w:pPr>
        <w:widowControl w:val="0"/>
        <w:tabs>
          <w:tab w:val="left" w:leader="underscore" w:pos="7715"/>
        </w:tabs>
        <w:ind w:left="4956"/>
        <w:rPr>
          <w:sz w:val="28"/>
          <w:szCs w:val="28"/>
        </w:rPr>
      </w:pPr>
    </w:p>
    <w:p w:rsidR="00F7534A" w:rsidRDefault="00F7534A" w:rsidP="004C68A9">
      <w:pPr>
        <w:widowControl w:val="0"/>
        <w:tabs>
          <w:tab w:val="left" w:leader="underscore" w:pos="7715"/>
        </w:tabs>
        <w:ind w:left="4956"/>
        <w:rPr>
          <w:sz w:val="28"/>
          <w:szCs w:val="28"/>
        </w:rPr>
      </w:pPr>
    </w:p>
    <w:p w:rsidR="00F7534A" w:rsidRDefault="00F7534A" w:rsidP="004C68A9">
      <w:pPr>
        <w:widowControl w:val="0"/>
        <w:tabs>
          <w:tab w:val="left" w:leader="underscore" w:pos="7715"/>
        </w:tabs>
        <w:ind w:left="4956"/>
        <w:rPr>
          <w:sz w:val="28"/>
          <w:szCs w:val="28"/>
        </w:rPr>
      </w:pPr>
    </w:p>
    <w:p w:rsidR="00F7534A" w:rsidRDefault="00F7534A" w:rsidP="004C68A9">
      <w:pPr>
        <w:widowControl w:val="0"/>
        <w:tabs>
          <w:tab w:val="left" w:leader="underscore" w:pos="7715"/>
        </w:tabs>
        <w:ind w:left="4956"/>
        <w:rPr>
          <w:sz w:val="28"/>
          <w:szCs w:val="28"/>
        </w:rPr>
      </w:pPr>
    </w:p>
    <w:p w:rsidR="00F7534A" w:rsidRDefault="00F7534A" w:rsidP="004C68A9">
      <w:pPr>
        <w:widowControl w:val="0"/>
        <w:tabs>
          <w:tab w:val="left" w:leader="underscore" w:pos="7715"/>
        </w:tabs>
        <w:ind w:left="4956"/>
        <w:rPr>
          <w:sz w:val="28"/>
          <w:szCs w:val="28"/>
        </w:rPr>
      </w:pPr>
    </w:p>
    <w:p w:rsidR="00F7534A" w:rsidRPr="004C68A9" w:rsidRDefault="00F7534A"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332204" w:rsidRDefault="004C68A9" w:rsidP="004C68A9">
      <w:pPr>
        <w:widowControl w:val="0"/>
        <w:tabs>
          <w:tab w:val="left" w:leader="underscore" w:pos="7715"/>
        </w:tabs>
        <w:ind w:left="4956"/>
        <w:rPr>
          <w:sz w:val="24"/>
          <w:szCs w:val="24"/>
        </w:rPr>
      </w:pPr>
      <w:r w:rsidRPr="00332204">
        <w:rPr>
          <w:sz w:val="24"/>
          <w:szCs w:val="24"/>
        </w:rPr>
        <w:lastRenderedPageBreak/>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69228B" w:rsidP="004C68A9">
      <w:pPr>
        <w:widowControl w:val="0"/>
        <w:tabs>
          <w:tab w:val="left" w:leader="underscore" w:pos="7715"/>
        </w:tabs>
        <w:ind w:left="4956"/>
        <w:rPr>
          <w:sz w:val="24"/>
          <w:szCs w:val="24"/>
        </w:rPr>
      </w:pPr>
      <w:r>
        <w:rPr>
          <w:color w:val="000000"/>
          <w:spacing w:val="30"/>
          <w:sz w:val="24"/>
          <w:szCs w:val="24"/>
          <w:shd w:val="clear" w:color="auto" w:fill="FFFFFF"/>
        </w:rPr>
        <w:t xml:space="preserve"> «_14_</w:t>
      </w:r>
      <w:r w:rsidR="004C68A9" w:rsidRPr="00332204">
        <w:rPr>
          <w:color w:val="000000"/>
          <w:spacing w:val="30"/>
          <w:sz w:val="24"/>
          <w:szCs w:val="24"/>
          <w:shd w:val="clear" w:color="auto" w:fill="FFFFFF"/>
        </w:rPr>
        <w:t>» ____</w:t>
      </w:r>
      <w:r>
        <w:rPr>
          <w:color w:val="000000"/>
          <w:spacing w:val="30"/>
          <w:sz w:val="24"/>
          <w:szCs w:val="24"/>
          <w:shd w:val="clear" w:color="auto" w:fill="FFFFFF"/>
        </w:rPr>
        <w:t>04</w:t>
      </w:r>
      <w:r w:rsidR="004C68A9" w:rsidRPr="00332204">
        <w:rPr>
          <w:color w:val="000000"/>
          <w:spacing w:val="30"/>
          <w:sz w:val="24"/>
          <w:szCs w:val="24"/>
          <w:shd w:val="clear" w:color="auto" w:fill="FFFFFF"/>
        </w:rPr>
        <w:t>____</w:t>
      </w:r>
      <w:r w:rsidR="00332204">
        <w:rPr>
          <w:sz w:val="24"/>
          <w:szCs w:val="24"/>
        </w:rPr>
        <w:t>202</w:t>
      </w:r>
      <w:r w:rsidR="00330CA2">
        <w:rPr>
          <w:sz w:val="24"/>
          <w:szCs w:val="24"/>
          <w:lang w:val="tt-RU"/>
        </w:rPr>
        <w:t>6</w:t>
      </w:r>
      <w:r w:rsidR="004C68A9" w:rsidRPr="00332204">
        <w:rPr>
          <w:sz w:val="24"/>
          <w:szCs w:val="24"/>
        </w:rPr>
        <w:t xml:space="preserve"> года  № </w:t>
      </w:r>
      <w:r>
        <w:rPr>
          <w:sz w:val="24"/>
          <w:szCs w:val="24"/>
        </w:rPr>
        <w:t>118</w:t>
      </w:r>
      <w:bookmarkStart w:id="0" w:name="_GoBack"/>
      <w:bookmarkEnd w:id="0"/>
      <w:r w:rsidR="004C68A9" w:rsidRPr="00332204">
        <w:rPr>
          <w:sz w:val="24"/>
          <w:szCs w:val="24"/>
        </w:rPr>
        <w:t>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330CA2">
        <w:rPr>
          <w:b/>
          <w:sz w:val="28"/>
          <w:szCs w:val="28"/>
          <w:lang w:val="tt-RU"/>
        </w:rPr>
        <w:t>6</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9309BA" w:rsidRDefault="004C68A9" w:rsidP="004C68A9">
      <w:pPr>
        <w:spacing w:line="276" w:lineRule="auto"/>
        <w:ind w:firstLine="709"/>
        <w:jc w:val="both"/>
        <w:rPr>
          <w:sz w:val="28"/>
          <w:szCs w:val="28"/>
        </w:rPr>
      </w:pPr>
      <w:r w:rsidRPr="004C68A9">
        <w:rPr>
          <w:sz w:val="28"/>
          <w:szCs w:val="28"/>
        </w:rPr>
        <w:t xml:space="preserve">В соответствии с письмом НП «Союз оценщиков Республики    Татарстан» </w:t>
      </w:r>
    </w:p>
    <w:p w:rsidR="004C68A9" w:rsidRPr="004C68A9" w:rsidRDefault="009309BA" w:rsidP="004C68A9">
      <w:pPr>
        <w:spacing w:line="276" w:lineRule="auto"/>
        <w:ind w:firstLine="709"/>
        <w:jc w:val="both"/>
        <w:rPr>
          <w:color w:val="FF0000"/>
          <w:sz w:val="28"/>
          <w:szCs w:val="28"/>
          <w:lang w:eastAsia="en-US"/>
        </w:rPr>
      </w:pPr>
      <w:r>
        <w:rPr>
          <w:sz w:val="28"/>
          <w:szCs w:val="28"/>
        </w:rPr>
        <w:t>№</w:t>
      </w:r>
      <w:r w:rsidR="006915F8">
        <w:rPr>
          <w:sz w:val="28"/>
          <w:szCs w:val="28"/>
        </w:rPr>
        <w:t xml:space="preserve"> </w:t>
      </w:r>
      <w:r>
        <w:rPr>
          <w:sz w:val="28"/>
          <w:szCs w:val="28"/>
        </w:rPr>
        <w:t>46</w:t>
      </w:r>
      <w:r w:rsidR="006915F8">
        <w:rPr>
          <w:sz w:val="28"/>
          <w:szCs w:val="28"/>
        </w:rPr>
        <w:t xml:space="preserve"> от </w:t>
      </w:r>
      <w:r>
        <w:rPr>
          <w:sz w:val="28"/>
          <w:szCs w:val="28"/>
        </w:rPr>
        <w:t>12.02.2026</w:t>
      </w:r>
      <w:r w:rsidR="006915F8">
        <w:rPr>
          <w:sz w:val="28"/>
          <w:szCs w:val="28"/>
        </w:rPr>
        <w:t xml:space="preserve"> </w:t>
      </w:r>
      <w:r w:rsidR="004C68A9"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Pr>
          <w:sz w:val="28"/>
          <w:szCs w:val="28"/>
        </w:rPr>
        <w:t>6</w:t>
      </w:r>
      <w:r w:rsidR="004C68A9" w:rsidRPr="004C68A9">
        <w:rPr>
          <w:sz w:val="28"/>
          <w:szCs w:val="28"/>
        </w:rPr>
        <w:t xml:space="preserve"> год, составляет </w:t>
      </w:r>
      <w:r>
        <w:rPr>
          <w:sz w:val="28"/>
          <w:szCs w:val="28"/>
        </w:rPr>
        <w:t>56887</w:t>
      </w:r>
      <w:r w:rsidR="004C68A9"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Pr="00F33D1A">
        <w:rPr>
          <w:sz w:val="28"/>
          <w:szCs w:val="28"/>
          <w:lang w:eastAsia="en-US"/>
        </w:rPr>
        <w:t xml:space="preserve"> х 18 = </w:t>
      </w:r>
      <w:r w:rsidR="000262BD">
        <w:rPr>
          <w:sz w:val="28"/>
          <w:szCs w:val="28"/>
          <w:lang w:eastAsia="en-US"/>
        </w:rPr>
        <w:t>1</w:t>
      </w:r>
      <w:r w:rsidR="00330CA2">
        <w:rPr>
          <w:sz w:val="28"/>
          <w:szCs w:val="28"/>
          <w:lang w:eastAsia="en-US"/>
        </w:rPr>
        <w:t> </w:t>
      </w:r>
      <w:r w:rsidR="00330CA2">
        <w:rPr>
          <w:sz w:val="28"/>
          <w:szCs w:val="28"/>
          <w:lang w:val="tt-RU" w:eastAsia="en-US"/>
        </w:rPr>
        <w:t>023 966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36 = </w:t>
      </w:r>
      <w:r w:rsidR="000262BD">
        <w:rPr>
          <w:sz w:val="28"/>
          <w:szCs w:val="28"/>
          <w:lang w:eastAsia="en-US"/>
        </w:rPr>
        <w:t>2</w:t>
      </w:r>
      <w:r w:rsidR="00330CA2">
        <w:rPr>
          <w:sz w:val="28"/>
          <w:szCs w:val="28"/>
          <w:lang w:eastAsia="en-US"/>
        </w:rPr>
        <w:t> </w:t>
      </w:r>
      <w:r w:rsidR="00330CA2">
        <w:rPr>
          <w:sz w:val="28"/>
          <w:szCs w:val="28"/>
          <w:lang w:val="tt-RU" w:eastAsia="en-US"/>
        </w:rPr>
        <w:t>047 932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х 18 х 3 = </w:t>
      </w:r>
      <w:r w:rsidR="000262BD">
        <w:rPr>
          <w:sz w:val="28"/>
          <w:szCs w:val="28"/>
          <w:lang w:eastAsia="en-US"/>
        </w:rPr>
        <w:t>3</w:t>
      </w:r>
      <w:r w:rsidR="00330CA2">
        <w:rPr>
          <w:sz w:val="28"/>
          <w:szCs w:val="28"/>
          <w:lang w:eastAsia="en-US"/>
        </w:rPr>
        <w:t> </w:t>
      </w:r>
      <w:r w:rsidR="00330CA2">
        <w:rPr>
          <w:sz w:val="28"/>
          <w:szCs w:val="28"/>
          <w:lang w:val="tt-RU" w:eastAsia="en-US"/>
        </w:rPr>
        <w:t>071 898</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г) на семью из четырех человек:</w:t>
      </w:r>
    </w:p>
    <w:p w:rsidR="00332204" w:rsidRPr="00F33D1A" w:rsidRDefault="00291CFF" w:rsidP="00332204">
      <w:pPr>
        <w:spacing w:line="276" w:lineRule="auto"/>
        <w:ind w:firstLine="709"/>
        <w:jc w:val="both"/>
        <w:rPr>
          <w:sz w:val="28"/>
          <w:szCs w:val="28"/>
          <w:lang w:eastAsia="en-US"/>
        </w:rPr>
      </w:pPr>
      <w:r>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332204" w:rsidRPr="00F33D1A">
        <w:rPr>
          <w:sz w:val="28"/>
          <w:szCs w:val="28"/>
        </w:rPr>
        <w:t xml:space="preserve"> </w:t>
      </w:r>
      <w:r w:rsidR="00332204" w:rsidRPr="00F33D1A">
        <w:rPr>
          <w:sz w:val="28"/>
          <w:szCs w:val="28"/>
          <w:lang w:eastAsia="en-US"/>
        </w:rPr>
        <w:t xml:space="preserve">х 18 х 4 = </w:t>
      </w:r>
      <w:r w:rsidR="002B1DAF">
        <w:rPr>
          <w:sz w:val="28"/>
          <w:szCs w:val="28"/>
          <w:lang w:eastAsia="en-US"/>
        </w:rPr>
        <w:t>4</w:t>
      </w:r>
      <w:r w:rsidR="00330CA2">
        <w:rPr>
          <w:sz w:val="28"/>
          <w:szCs w:val="28"/>
          <w:lang w:eastAsia="en-US"/>
        </w:rPr>
        <w:t> </w:t>
      </w:r>
      <w:r w:rsidR="00330CA2">
        <w:rPr>
          <w:sz w:val="28"/>
          <w:szCs w:val="28"/>
          <w:lang w:val="tt-RU" w:eastAsia="en-US"/>
        </w:rPr>
        <w:t>095 864</w:t>
      </w:r>
      <w:r w:rsidR="00332204"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 х 18 х 5 = </w:t>
      </w:r>
      <w:r w:rsidR="00330CA2">
        <w:rPr>
          <w:sz w:val="28"/>
          <w:szCs w:val="28"/>
          <w:lang w:val="tt-RU" w:eastAsia="en-US"/>
        </w:rPr>
        <w:t>5 119  830</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18 х 6 = </w:t>
      </w:r>
      <w:r w:rsidR="002B1DAF">
        <w:rPr>
          <w:sz w:val="28"/>
          <w:szCs w:val="28"/>
          <w:lang w:eastAsia="en-US"/>
        </w:rPr>
        <w:t>6</w:t>
      </w:r>
      <w:r w:rsidR="00330CA2">
        <w:rPr>
          <w:sz w:val="28"/>
          <w:szCs w:val="28"/>
          <w:lang w:eastAsia="en-US"/>
        </w:rPr>
        <w:t> </w:t>
      </w:r>
      <w:r w:rsidR="00330CA2">
        <w:rPr>
          <w:sz w:val="28"/>
          <w:szCs w:val="28"/>
          <w:lang w:val="tt-RU" w:eastAsia="en-US"/>
        </w:rPr>
        <w:t>143 796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00291CFF">
        <w:rPr>
          <w:sz w:val="28"/>
          <w:szCs w:val="28"/>
          <w:lang w:eastAsia="en-US"/>
        </w:rPr>
        <w:t xml:space="preserve">х 18 х 7 = </w:t>
      </w:r>
      <w:r w:rsidR="002B1DAF">
        <w:rPr>
          <w:sz w:val="28"/>
          <w:szCs w:val="28"/>
          <w:lang w:eastAsia="en-US"/>
        </w:rPr>
        <w:t>7</w:t>
      </w:r>
      <w:r w:rsidR="00330CA2">
        <w:rPr>
          <w:sz w:val="28"/>
          <w:szCs w:val="28"/>
          <w:lang w:eastAsia="en-US"/>
        </w:rPr>
        <w:t> </w:t>
      </w:r>
      <w:r w:rsidR="00330CA2">
        <w:rPr>
          <w:sz w:val="28"/>
          <w:szCs w:val="28"/>
          <w:lang w:val="tt-RU" w:eastAsia="en-US"/>
        </w:rPr>
        <w:t>167 762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330CA2">
        <w:rPr>
          <w:sz w:val="28"/>
          <w:szCs w:val="28"/>
          <w:lang w:val="tt-RU"/>
        </w:rPr>
        <w:t>56887</w:t>
      </w:r>
      <w:r w:rsidR="000262BD" w:rsidRPr="00F33D1A">
        <w:rPr>
          <w:sz w:val="28"/>
          <w:szCs w:val="28"/>
          <w:lang w:eastAsia="en-US"/>
        </w:rPr>
        <w:t xml:space="preserve"> </w:t>
      </w:r>
      <w:r w:rsidRPr="00F33D1A">
        <w:rPr>
          <w:sz w:val="28"/>
          <w:szCs w:val="28"/>
          <w:lang w:eastAsia="en-US"/>
        </w:rPr>
        <w:t xml:space="preserve"> х 18 х 8 =</w:t>
      </w:r>
      <w:r w:rsidR="002B1DAF">
        <w:rPr>
          <w:sz w:val="28"/>
          <w:szCs w:val="28"/>
          <w:lang w:eastAsia="en-US"/>
        </w:rPr>
        <w:t>8</w:t>
      </w:r>
      <w:r w:rsidR="00330CA2">
        <w:rPr>
          <w:sz w:val="28"/>
          <w:szCs w:val="28"/>
          <w:lang w:eastAsia="en-US"/>
        </w:rPr>
        <w:t> </w:t>
      </w:r>
      <w:r w:rsidR="00330CA2">
        <w:rPr>
          <w:sz w:val="28"/>
          <w:szCs w:val="28"/>
          <w:lang w:val="tt-RU" w:eastAsia="en-US"/>
        </w:rPr>
        <w:t>191 728</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w:t>
      </w:r>
      <w:r w:rsidR="00291CFF">
        <w:rPr>
          <w:sz w:val="28"/>
          <w:szCs w:val="28"/>
          <w:lang w:eastAsia="en-US"/>
        </w:rPr>
        <w:t xml:space="preserve">дитных организаций) </w:t>
      </w:r>
      <w:r w:rsidR="007E4250" w:rsidRPr="00DD2E36">
        <w:rPr>
          <w:sz w:val="28"/>
          <w:szCs w:val="28"/>
          <w:lang w:eastAsia="en-US"/>
        </w:rPr>
        <w:t>7</w:t>
      </w:r>
      <w:r w:rsidR="00291CFF" w:rsidRPr="00DD2E36">
        <w:rPr>
          <w:sz w:val="28"/>
          <w:szCs w:val="28"/>
          <w:lang w:eastAsia="en-US"/>
        </w:rPr>
        <w:t xml:space="preserve"> %</w:t>
      </w:r>
      <w:r w:rsidR="00291CFF">
        <w:rPr>
          <w:sz w:val="28"/>
          <w:szCs w:val="28"/>
          <w:lang w:eastAsia="en-US"/>
        </w:rPr>
        <w:t xml:space="preserve">  в год, то есть </w:t>
      </w:r>
      <w:r w:rsidR="007E4250">
        <w:rPr>
          <w:sz w:val="28"/>
          <w:szCs w:val="28"/>
          <w:lang w:eastAsia="en-US"/>
        </w:rPr>
        <w:t>7</w:t>
      </w:r>
      <w:r w:rsidR="00291CFF">
        <w:rPr>
          <w:sz w:val="28"/>
          <w:szCs w:val="28"/>
          <w:lang w:eastAsia="en-US"/>
        </w:rPr>
        <w:t>/12/100 в месяц = 0,0</w:t>
      </w:r>
      <w:r w:rsidR="007E4250">
        <w:rPr>
          <w:sz w:val="28"/>
          <w:szCs w:val="28"/>
          <w:lang w:eastAsia="en-US"/>
        </w:rPr>
        <w:t>058</w:t>
      </w:r>
      <w:r w:rsidRPr="004C68A9">
        <w:rPr>
          <w:sz w:val="28"/>
          <w:szCs w:val="28"/>
          <w:lang w:eastAsia="en-US"/>
        </w:rPr>
        <w:t xml:space="preserve">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lastRenderedPageBreak/>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41A1B"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41A1B" w:rsidRPr="00332204" w:rsidRDefault="00441A1B" w:rsidP="00441A1B">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41A1B" w:rsidRPr="008E4304" w:rsidRDefault="00441A1B" w:rsidP="00441A1B">
            <w:pPr>
              <w:rPr>
                <w:sz w:val="24"/>
                <w:szCs w:val="24"/>
                <w:lang w:val="tt-RU" w:eastAsia="en-US"/>
              </w:rPr>
            </w:pPr>
            <w:r>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Pr>
                <w:sz w:val="24"/>
                <w:szCs w:val="24"/>
                <w:lang w:eastAsia="en-US"/>
              </w:rPr>
              <w:t>7</w:t>
            </w:r>
            <w:r w:rsidRPr="00332204">
              <w:rPr>
                <w:sz w:val="24"/>
                <w:szCs w:val="24"/>
                <w:lang w:eastAsia="en-US"/>
              </w:rPr>
              <w:t>/12/100=</w:t>
            </w:r>
          </w:p>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0,0</w:t>
            </w:r>
            <w:r>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41A1B" w:rsidRPr="00441A1B" w:rsidRDefault="00441A1B" w:rsidP="00441A1B">
            <w:pPr>
              <w:rPr>
                <w:sz w:val="26"/>
                <w:szCs w:val="26"/>
              </w:rPr>
            </w:pPr>
            <w:r w:rsidRPr="00441A1B">
              <w:rPr>
                <w:sz w:val="26"/>
                <w:szCs w:val="26"/>
                <w:lang w:val="tt-RU"/>
              </w:rPr>
              <w:t>25583,40</w:t>
            </w:r>
          </w:p>
        </w:tc>
      </w:tr>
      <w:tr w:rsidR="00441A1B"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1 </w:t>
            </w:r>
            <w:r>
              <w:rPr>
                <w:sz w:val="28"/>
                <w:szCs w:val="28"/>
                <w:lang w:val="tt-RU" w:eastAsia="en-US"/>
              </w:rPr>
              <w:t>023 966</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2 </w:t>
            </w:r>
            <w:r>
              <w:rPr>
                <w:sz w:val="28"/>
                <w:szCs w:val="28"/>
                <w:lang w:val="tt-RU" w:eastAsia="en-US"/>
              </w:rPr>
              <w:t>047 932</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3 </w:t>
            </w:r>
            <w:r>
              <w:rPr>
                <w:sz w:val="28"/>
                <w:szCs w:val="28"/>
                <w:lang w:val="tt-RU" w:eastAsia="en-US"/>
              </w:rPr>
              <w:t>071 898</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4 </w:t>
            </w:r>
            <w:r>
              <w:rPr>
                <w:sz w:val="28"/>
                <w:szCs w:val="28"/>
                <w:lang w:val="tt-RU" w:eastAsia="en-US"/>
              </w:rPr>
              <w:t>095 864</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rPr>
                <w:sz w:val="24"/>
                <w:szCs w:val="24"/>
              </w:rPr>
            </w:pPr>
            <w:r>
              <w:rPr>
                <w:sz w:val="28"/>
                <w:szCs w:val="28"/>
                <w:lang w:val="tt-RU" w:eastAsia="en-US"/>
              </w:rPr>
              <w:t>5 119 830</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6 </w:t>
            </w:r>
            <w:r>
              <w:rPr>
                <w:sz w:val="28"/>
                <w:szCs w:val="28"/>
                <w:lang w:val="tt-RU" w:eastAsia="en-US"/>
              </w:rPr>
              <w:t>143 796</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7 </w:t>
            </w:r>
            <w:r>
              <w:rPr>
                <w:sz w:val="28"/>
                <w:szCs w:val="28"/>
                <w:lang w:val="tt-RU" w:eastAsia="en-US"/>
              </w:rPr>
              <w:t>167 762</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r w:rsidR="00441A1B"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441A1B" w:rsidRPr="0034066F" w:rsidRDefault="00441A1B" w:rsidP="00441A1B">
            <w:pPr>
              <w:jc w:val="center"/>
              <w:rPr>
                <w:sz w:val="24"/>
                <w:szCs w:val="24"/>
              </w:rPr>
            </w:pPr>
            <w:r>
              <w:rPr>
                <w:sz w:val="28"/>
                <w:szCs w:val="28"/>
                <w:lang w:eastAsia="en-US"/>
              </w:rPr>
              <w:t>8 </w:t>
            </w:r>
            <w:r>
              <w:rPr>
                <w:sz w:val="28"/>
                <w:szCs w:val="28"/>
                <w:lang w:val="tt-RU" w:eastAsia="en-US"/>
              </w:rPr>
              <w:t>191 728</w:t>
            </w:r>
          </w:p>
        </w:tc>
        <w:tc>
          <w:tcPr>
            <w:tcW w:w="851"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441A1B" w:rsidRDefault="00441A1B" w:rsidP="00441A1B">
            <w:r w:rsidRPr="001321F7">
              <w:rPr>
                <w:sz w:val="24"/>
                <w:szCs w:val="24"/>
                <w:lang w:val="tt-RU" w:eastAsia="en-US"/>
              </w:rPr>
              <w:t>56887</w:t>
            </w:r>
          </w:p>
        </w:tc>
        <w:tc>
          <w:tcPr>
            <w:tcW w:w="1449" w:type="dxa"/>
            <w:tcBorders>
              <w:top w:val="single" w:sz="4" w:space="0" w:color="auto"/>
              <w:left w:val="single" w:sz="4" w:space="0" w:color="auto"/>
              <w:bottom w:val="single" w:sz="4" w:space="0" w:color="auto"/>
              <w:right w:val="single" w:sz="4" w:space="0" w:color="auto"/>
            </w:tcBorders>
            <w:hideMark/>
          </w:tcPr>
          <w:p w:rsidR="00441A1B" w:rsidRDefault="00441A1B" w:rsidP="00441A1B">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441A1B" w:rsidRPr="00332204" w:rsidRDefault="00441A1B" w:rsidP="00441A1B">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41A1B" w:rsidRPr="00F821B1" w:rsidRDefault="00441A1B" w:rsidP="00441A1B">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441A1B" w:rsidRPr="00441A1B" w:rsidRDefault="00441A1B" w:rsidP="00441A1B">
            <w:pPr>
              <w:rPr>
                <w:sz w:val="26"/>
                <w:szCs w:val="26"/>
              </w:rPr>
            </w:pPr>
            <w:r w:rsidRPr="00441A1B">
              <w:rPr>
                <w:sz w:val="26"/>
                <w:szCs w:val="26"/>
                <w:lang w:val="tt-RU"/>
              </w:rPr>
              <w:t>25583,40</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E4304"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E4304">
        <w:rPr>
          <w:sz w:val="28"/>
          <w:szCs w:val="28"/>
          <w:lang w:val="tt-RU" w:eastAsia="en-US"/>
        </w:rPr>
        <w:t xml:space="preserve">1 023 966 </w:t>
      </w:r>
      <w:r w:rsidR="0028115C">
        <w:rPr>
          <w:sz w:val="28"/>
          <w:szCs w:val="28"/>
          <w:lang w:eastAsia="en-US"/>
        </w:rPr>
        <w:t>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8E4304">
        <w:rPr>
          <w:sz w:val="28"/>
          <w:szCs w:val="28"/>
          <w:lang w:val="tt-RU"/>
        </w:rPr>
        <w:t>4157,30</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8E4304">
        <w:rPr>
          <w:sz w:val="28"/>
          <w:szCs w:val="28"/>
          <w:lang w:val="tt-RU"/>
        </w:rPr>
        <w:t>25583,40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E4304"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8E4304">
        <w:rPr>
          <w:sz w:val="28"/>
          <w:szCs w:val="28"/>
          <w:lang w:eastAsia="en-US"/>
        </w:rPr>
        <w:t>2 </w:t>
      </w:r>
      <w:r w:rsidR="008E4304">
        <w:rPr>
          <w:sz w:val="28"/>
          <w:szCs w:val="28"/>
          <w:lang w:val="tt-RU" w:eastAsia="en-US"/>
        </w:rPr>
        <w:t xml:space="preserve">047 932 </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8E4304">
        <w:rPr>
          <w:sz w:val="28"/>
          <w:szCs w:val="28"/>
          <w:lang w:val="tt-RU"/>
        </w:rPr>
        <w:t>8314,60</w:t>
      </w:r>
      <w:r w:rsidRPr="008C266A">
        <w:rPr>
          <w:sz w:val="28"/>
          <w:szCs w:val="28"/>
        </w:rPr>
        <w:t>/</w:t>
      </w:r>
      <w:r w:rsidR="00C97874">
        <w:rPr>
          <w:sz w:val="28"/>
          <w:szCs w:val="28"/>
        </w:rPr>
        <w:t>0,65</w:t>
      </w:r>
      <w:r w:rsidRPr="008C266A">
        <w:rPr>
          <w:sz w:val="28"/>
          <w:szCs w:val="28"/>
        </w:rPr>
        <w:t xml:space="preserve">/0,5= </w:t>
      </w:r>
      <w:r w:rsidR="008E4304">
        <w:rPr>
          <w:sz w:val="28"/>
          <w:szCs w:val="28"/>
          <w:lang w:val="tt-RU"/>
        </w:rPr>
        <w:t>25583,40</w:t>
      </w:r>
    </w:p>
    <w:p w:rsidR="004C68A9" w:rsidRPr="008E4304" w:rsidRDefault="004C68A9" w:rsidP="004C68A9">
      <w:pPr>
        <w:widowControl w:val="0"/>
        <w:ind w:firstLine="567"/>
        <w:jc w:val="both"/>
        <w:rPr>
          <w:sz w:val="28"/>
          <w:szCs w:val="28"/>
          <w:highlight w:val="yellow"/>
          <w:lang w:val="tt-RU"/>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41A1B" w:rsidRDefault="004C68A9" w:rsidP="004C68A9">
      <w:pPr>
        <w:widowControl w:val="0"/>
        <w:jc w:val="both"/>
        <w:rPr>
          <w:sz w:val="28"/>
          <w:szCs w:val="28"/>
          <w:lang w:val="tt-RU"/>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441A1B">
        <w:rPr>
          <w:sz w:val="28"/>
          <w:szCs w:val="28"/>
          <w:lang w:eastAsia="en-US"/>
        </w:rPr>
        <w:t>3 </w:t>
      </w:r>
      <w:r w:rsidR="00441A1B">
        <w:rPr>
          <w:sz w:val="28"/>
          <w:szCs w:val="28"/>
          <w:lang w:val="tt-RU" w:eastAsia="en-US"/>
        </w:rPr>
        <w:t>071 898</w:t>
      </w:r>
      <w:r w:rsidR="00F821B1">
        <w:rPr>
          <w:sz w:val="28"/>
          <w:szCs w:val="28"/>
          <w:lang w:eastAsia="en-US"/>
        </w:rPr>
        <w:t>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441A1B">
        <w:rPr>
          <w:sz w:val="28"/>
          <w:szCs w:val="28"/>
          <w:lang w:val="tt-RU"/>
        </w:rPr>
        <w:t>12471,91</w:t>
      </w:r>
      <w:r w:rsidR="00F821B1">
        <w:rPr>
          <w:sz w:val="28"/>
          <w:szCs w:val="28"/>
        </w:rPr>
        <w:t>/0,</w:t>
      </w:r>
      <w:r w:rsidR="000443C6">
        <w:rPr>
          <w:sz w:val="28"/>
          <w:szCs w:val="28"/>
        </w:rPr>
        <w:t>65</w:t>
      </w:r>
      <w:r w:rsidRPr="008C266A">
        <w:rPr>
          <w:sz w:val="28"/>
          <w:szCs w:val="28"/>
        </w:rPr>
        <w:t xml:space="preserve">/0,75 = </w:t>
      </w:r>
      <w:r w:rsidR="00441A1B">
        <w:rPr>
          <w:sz w:val="28"/>
          <w:szCs w:val="28"/>
          <w:lang w:val="tt-RU"/>
        </w:rPr>
        <w:t>25583,40</w:t>
      </w:r>
    </w:p>
    <w:p w:rsidR="00FF1D17" w:rsidRPr="00F33D1A" w:rsidRDefault="00FF1D17"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Pr="00E5327B">
        <w:rPr>
          <w:sz w:val="28"/>
          <w:szCs w:val="28"/>
        </w:rPr>
        <w:t xml:space="preserve">На семью из </w:t>
      </w:r>
      <w:r>
        <w:rPr>
          <w:sz w:val="28"/>
          <w:szCs w:val="28"/>
        </w:rPr>
        <w:t>четырех</w:t>
      </w:r>
      <w:r w:rsidRPr="00E5327B">
        <w:rPr>
          <w:sz w:val="28"/>
          <w:szCs w:val="28"/>
        </w:rPr>
        <w:t xml:space="preserve"> человек</w:t>
      </w:r>
      <w:r w:rsidRPr="00F33D1A">
        <w:rPr>
          <w:sz w:val="28"/>
          <w:szCs w:val="28"/>
        </w:rPr>
        <w:t>:</w:t>
      </w:r>
    </w:p>
    <w:p w:rsidR="000443C6" w:rsidRPr="00441A1B" w:rsidRDefault="000443C6" w:rsidP="000443C6">
      <w:pPr>
        <w:widowControl w:val="0"/>
        <w:jc w:val="both"/>
        <w:rPr>
          <w:sz w:val="28"/>
          <w:szCs w:val="28"/>
          <w:highlight w:val="yellow"/>
          <w:lang w:val="tt-RU"/>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sidR="00441A1B">
        <w:rPr>
          <w:sz w:val="28"/>
          <w:szCs w:val="28"/>
          <w:lang w:eastAsia="en-US"/>
        </w:rPr>
        <w:t>4 </w:t>
      </w:r>
      <w:r w:rsidR="00441A1B">
        <w:rPr>
          <w:sz w:val="28"/>
          <w:szCs w:val="28"/>
          <w:lang w:val="tt-RU" w:eastAsia="en-US"/>
        </w:rPr>
        <w:t>095 864</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sidR="00441A1B">
        <w:rPr>
          <w:sz w:val="28"/>
          <w:szCs w:val="28"/>
          <w:lang w:val="tt-RU"/>
        </w:rPr>
        <w:t>16629,92</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sidR="00441A1B">
        <w:rPr>
          <w:sz w:val="28"/>
          <w:szCs w:val="28"/>
          <w:lang w:val="tt-RU"/>
        </w:rPr>
        <w:t>25583,40</w:t>
      </w:r>
    </w:p>
    <w:p w:rsidR="000443C6" w:rsidRPr="00E5327B" w:rsidRDefault="000443C6" w:rsidP="000443C6">
      <w:pPr>
        <w:widowControl w:val="0"/>
        <w:tabs>
          <w:tab w:val="left" w:pos="1127"/>
        </w:tabs>
        <w:ind w:firstLine="740"/>
        <w:jc w:val="both"/>
        <w:outlineLvl w:val="2"/>
        <w:rPr>
          <w:sz w:val="28"/>
          <w:szCs w:val="28"/>
        </w:rPr>
      </w:pPr>
      <w:r>
        <w:rPr>
          <w:sz w:val="28"/>
          <w:szCs w:val="28"/>
        </w:rPr>
        <w:lastRenderedPageBreak/>
        <w:t>5</w:t>
      </w:r>
      <w:r w:rsidRPr="00E5327B">
        <w:rPr>
          <w:sz w:val="28"/>
          <w:szCs w:val="28"/>
        </w:rPr>
        <w:t xml:space="preserve">. На семью из </w:t>
      </w:r>
      <w:r>
        <w:rPr>
          <w:sz w:val="28"/>
          <w:szCs w:val="28"/>
        </w:rPr>
        <w:t>пяти</w:t>
      </w:r>
      <w:r w:rsidRPr="00E5327B">
        <w:rPr>
          <w:sz w:val="28"/>
          <w:szCs w:val="28"/>
        </w:rPr>
        <w:t xml:space="preserve"> человек:</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val="tt-RU" w:eastAsia="en-US"/>
        </w:rPr>
        <w:t>5 119 830</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sidR="00441A1B">
        <w:rPr>
          <w:sz w:val="28"/>
          <w:szCs w:val="28"/>
          <w:lang w:val="tt-RU"/>
        </w:rPr>
        <w:t>20786,51</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00441A1B">
        <w:rPr>
          <w:sz w:val="28"/>
          <w:szCs w:val="28"/>
          <w:lang w:val="tt-RU"/>
        </w:rPr>
        <w:t>25583,40</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шести</w:t>
      </w:r>
      <w:r w:rsidRPr="00E5327B">
        <w:rPr>
          <w:sz w:val="28"/>
          <w:szCs w:val="28"/>
        </w:rPr>
        <w:t xml:space="preserve"> человек:</w:t>
      </w:r>
    </w:p>
    <w:p w:rsidR="00AB4548" w:rsidRDefault="000443C6" w:rsidP="006C064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6 </w:t>
      </w:r>
      <w:r w:rsidR="00441A1B">
        <w:rPr>
          <w:sz w:val="28"/>
          <w:szCs w:val="28"/>
          <w:lang w:val="tt-RU" w:eastAsia="en-US"/>
        </w:rPr>
        <w:t>143 796</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441A1B">
        <w:rPr>
          <w:sz w:val="28"/>
          <w:szCs w:val="28"/>
          <w:lang w:val="tt-RU"/>
        </w:rPr>
        <w:t>24943,81</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441A1B">
        <w:rPr>
          <w:sz w:val="28"/>
          <w:szCs w:val="28"/>
          <w:lang w:val="tt-RU"/>
        </w:rPr>
        <w:t>25583,40</w:t>
      </w:r>
      <w:r w:rsidRPr="00E5327B">
        <w:rPr>
          <w:sz w:val="28"/>
          <w:szCs w:val="28"/>
        </w:rPr>
        <w:t xml:space="preserve">. </w:t>
      </w:r>
    </w:p>
    <w:p w:rsidR="000443C6" w:rsidRPr="00E5327B" w:rsidRDefault="000443C6" w:rsidP="006C0646">
      <w:pPr>
        <w:widowControl w:val="0"/>
        <w:jc w:val="both"/>
        <w:rPr>
          <w:sz w:val="28"/>
          <w:szCs w:val="28"/>
        </w:rPr>
      </w:pPr>
      <w:r w:rsidRPr="00E5327B">
        <w:rPr>
          <w:sz w:val="28"/>
          <w:szCs w:val="28"/>
        </w:rPr>
        <w:t xml:space="preserve">На семью из </w:t>
      </w:r>
      <w:r>
        <w:rPr>
          <w:sz w:val="28"/>
          <w:szCs w:val="28"/>
        </w:rPr>
        <w:t>семи</w:t>
      </w:r>
      <w:r w:rsidRPr="00E5327B">
        <w:rPr>
          <w:sz w:val="28"/>
          <w:szCs w:val="28"/>
        </w:rPr>
        <w:t xml:space="preserve"> человек:</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7 </w:t>
      </w:r>
      <w:r w:rsidR="00441A1B">
        <w:rPr>
          <w:sz w:val="28"/>
          <w:szCs w:val="28"/>
          <w:lang w:val="tt-RU" w:eastAsia="en-US"/>
        </w:rPr>
        <w:t>167 762</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sidR="00441A1B">
        <w:rPr>
          <w:sz w:val="28"/>
          <w:szCs w:val="28"/>
          <w:lang w:val="tt-RU"/>
        </w:rPr>
        <w:t>29101,11</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441A1B">
        <w:rPr>
          <w:sz w:val="28"/>
          <w:szCs w:val="28"/>
          <w:lang w:val="tt-RU"/>
        </w:rPr>
        <w:t>25583,40</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На семью из </w:t>
      </w:r>
      <w:r>
        <w:rPr>
          <w:sz w:val="28"/>
          <w:szCs w:val="28"/>
        </w:rPr>
        <w:t xml:space="preserve">восьми </w:t>
      </w:r>
      <w:r w:rsidRPr="00E5327B">
        <w:rPr>
          <w:sz w:val="28"/>
          <w:szCs w:val="28"/>
        </w:rPr>
        <w:t>человек:</w:t>
      </w:r>
    </w:p>
    <w:p w:rsidR="000443C6" w:rsidRPr="00441A1B" w:rsidRDefault="000443C6" w:rsidP="000443C6">
      <w:pPr>
        <w:widowControl w:val="0"/>
        <w:jc w:val="both"/>
        <w:rPr>
          <w:sz w:val="28"/>
          <w:szCs w:val="28"/>
          <w:lang w:val="tt-RU"/>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441A1B">
        <w:rPr>
          <w:sz w:val="28"/>
          <w:szCs w:val="28"/>
          <w:lang w:eastAsia="en-US"/>
        </w:rPr>
        <w:t>8 </w:t>
      </w:r>
      <w:r w:rsidR="00441A1B">
        <w:rPr>
          <w:sz w:val="28"/>
          <w:szCs w:val="28"/>
          <w:lang w:val="tt-RU" w:eastAsia="en-US"/>
        </w:rPr>
        <w:t>191 728</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sidR="00441A1B">
        <w:rPr>
          <w:sz w:val="28"/>
          <w:szCs w:val="28"/>
          <w:lang w:val="tt-RU"/>
        </w:rPr>
        <w:t>33258,42</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441A1B">
        <w:rPr>
          <w:sz w:val="28"/>
          <w:szCs w:val="28"/>
          <w:lang w:val="tt-RU"/>
        </w:rPr>
        <w:t>25583,40</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1C0" w:rsidRDefault="00B051C0">
      <w:r>
        <w:separator/>
      </w:r>
    </w:p>
  </w:endnote>
  <w:endnote w:type="continuationSeparator" w:id="0">
    <w:p w:rsidR="00B051C0" w:rsidRDefault="00B0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MS UI Gothic"/>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1C0" w:rsidRDefault="00B051C0">
      <w:r>
        <w:separator/>
      </w:r>
    </w:p>
  </w:footnote>
  <w:footnote w:type="continuationSeparator" w:id="0">
    <w:p w:rsidR="00B051C0" w:rsidRDefault="00B051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2BD"/>
    <w:rsid w:val="00026D1C"/>
    <w:rsid w:val="00033900"/>
    <w:rsid w:val="00036029"/>
    <w:rsid w:val="000369C2"/>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0D669E"/>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1DAF"/>
    <w:rsid w:val="002B2DD6"/>
    <w:rsid w:val="002D03D5"/>
    <w:rsid w:val="002D267E"/>
    <w:rsid w:val="002D3DCB"/>
    <w:rsid w:val="002D758F"/>
    <w:rsid w:val="00301CE8"/>
    <w:rsid w:val="003045ED"/>
    <w:rsid w:val="003063CB"/>
    <w:rsid w:val="0031351D"/>
    <w:rsid w:val="00315DFD"/>
    <w:rsid w:val="003207EC"/>
    <w:rsid w:val="00330CA2"/>
    <w:rsid w:val="00332204"/>
    <w:rsid w:val="003355B1"/>
    <w:rsid w:val="00355780"/>
    <w:rsid w:val="00356D78"/>
    <w:rsid w:val="00383BBB"/>
    <w:rsid w:val="00384781"/>
    <w:rsid w:val="00391E9A"/>
    <w:rsid w:val="00396A18"/>
    <w:rsid w:val="003A2FC9"/>
    <w:rsid w:val="003A43BF"/>
    <w:rsid w:val="003A52E1"/>
    <w:rsid w:val="003B09CA"/>
    <w:rsid w:val="003B7D21"/>
    <w:rsid w:val="003C5699"/>
    <w:rsid w:val="003D24DA"/>
    <w:rsid w:val="003D6303"/>
    <w:rsid w:val="003E454B"/>
    <w:rsid w:val="003E7F7E"/>
    <w:rsid w:val="003F4A36"/>
    <w:rsid w:val="003F6FED"/>
    <w:rsid w:val="0040106D"/>
    <w:rsid w:val="0040588A"/>
    <w:rsid w:val="00415936"/>
    <w:rsid w:val="00417663"/>
    <w:rsid w:val="00420E8B"/>
    <w:rsid w:val="00440713"/>
    <w:rsid w:val="00441A1B"/>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B4AA0"/>
    <w:rsid w:val="004C5DBE"/>
    <w:rsid w:val="004C68A9"/>
    <w:rsid w:val="004F191F"/>
    <w:rsid w:val="00502E17"/>
    <w:rsid w:val="00503525"/>
    <w:rsid w:val="005075F8"/>
    <w:rsid w:val="005140D9"/>
    <w:rsid w:val="005162EE"/>
    <w:rsid w:val="00530A98"/>
    <w:rsid w:val="0053109B"/>
    <w:rsid w:val="0053423B"/>
    <w:rsid w:val="00540996"/>
    <w:rsid w:val="00555CB2"/>
    <w:rsid w:val="00567E06"/>
    <w:rsid w:val="0057214C"/>
    <w:rsid w:val="00584304"/>
    <w:rsid w:val="00590DDD"/>
    <w:rsid w:val="00593B0F"/>
    <w:rsid w:val="00594A56"/>
    <w:rsid w:val="005A40D8"/>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28B"/>
    <w:rsid w:val="00692E49"/>
    <w:rsid w:val="00694EED"/>
    <w:rsid w:val="00696A10"/>
    <w:rsid w:val="006B3C91"/>
    <w:rsid w:val="006C0646"/>
    <w:rsid w:val="006C6335"/>
    <w:rsid w:val="006C7F97"/>
    <w:rsid w:val="006F6AA6"/>
    <w:rsid w:val="007028EE"/>
    <w:rsid w:val="007063DB"/>
    <w:rsid w:val="00710AE1"/>
    <w:rsid w:val="00710DBF"/>
    <w:rsid w:val="00726BEC"/>
    <w:rsid w:val="007308EE"/>
    <w:rsid w:val="007410A8"/>
    <w:rsid w:val="00744812"/>
    <w:rsid w:val="007458F2"/>
    <w:rsid w:val="00762268"/>
    <w:rsid w:val="00765941"/>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E6CD9"/>
    <w:rsid w:val="007F4EBE"/>
    <w:rsid w:val="00817D89"/>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304"/>
    <w:rsid w:val="008E457F"/>
    <w:rsid w:val="008E60FD"/>
    <w:rsid w:val="009006AC"/>
    <w:rsid w:val="0090762D"/>
    <w:rsid w:val="00907CFD"/>
    <w:rsid w:val="00911AA7"/>
    <w:rsid w:val="00912760"/>
    <w:rsid w:val="00917131"/>
    <w:rsid w:val="009173C1"/>
    <w:rsid w:val="009257CA"/>
    <w:rsid w:val="0092785D"/>
    <w:rsid w:val="009309BA"/>
    <w:rsid w:val="00946541"/>
    <w:rsid w:val="00957388"/>
    <w:rsid w:val="00961F93"/>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2564"/>
    <w:rsid w:val="00A43554"/>
    <w:rsid w:val="00A64DE8"/>
    <w:rsid w:val="00A677EE"/>
    <w:rsid w:val="00A70E00"/>
    <w:rsid w:val="00A775AF"/>
    <w:rsid w:val="00A828FD"/>
    <w:rsid w:val="00A85524"/>
    <w:rsid w:val="00A85BDE"/>
    <w:rsid w:val="00A92A11"/>
    <w:rsid w:val="00AA6D11"/>
    <w:rsid w:val="00AA726B"/>
    <w:rsid w:val="00AA7818"/>
    <w:rsid w:val="00AB3B80"/>
    <w:rsid w:val="00AB4548"/>
    <w:rsid w:val="00AB64AC"/>
    <w:rsid w:val="00AB7279"/>
    <w:rsid w:val="00AC5587"/>
    <w:rsid w:val="00AC7B2A"/>
    <w:rsid w:val="00AD7D42"/>
    <w:rsid w:val="00AE4EA4"/>
    <w:rsid w:val="00AE76F9"/>
    <w:rsid w:val="00B051C0"/>
    <w:rsid w:val="00B12302"/>
    <w:rsid w:val="00B423DF"/>
    <w:rsid w:val="00B4351A"/>
    <w:rsid w:val="00B44DA6"/>
    <w:rsid w:val="00B51E51"/>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0BC"/>
    <w:rsid w:val="00BD4DE7"/>
    <w:rsid w:val="00BE45FC"/>
    <w:rsid w:val="00BF180C"/>
    <w:rsid w:val="00BF431B"/>
    <w:rsid w:val="00BF5AC7"/>
    <w:rsid w:val="00BF5CBB"/>
    <w:rsid w:val="00C02746"/>
    <w:rsid w:val="00C02776"/>
    <w:rsid w:val="00C03F69"/>
    <w:rsid w:val="00C32166"/>
    <w:rsid w:val="00C323C8"/>
    <w:rsid w:val="00C54DAC"/>
    <w:rsid w:val="00C63068"/>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58D7"/>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C3EB0"/>
    <w:rsid w:val="00DD2E36"/>
    <w:rsid w:val="00DF7A57"/>
    <w:rsid w:val="00E014EC"/>
    <w:rsid w:val="00E03FB0"/>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37986"/>
    <w:rsid w:val="00F7534A"/>
    <w:rsid w:val="00F821B1"/>
    <w:rsid w:val="00F82C9C"/>
    <w:rsid w:val="00F8752E"/>
    <w:rsid w:val="00FA0DC6"/>
    <w:rsid w:val="00FB2C89"/>
    <w:rsid w:val="00FC26DC"/>
    <w:rsid w:val="00FD5988"/>
    <w:rsid w:val="00FD5C48"/>
    <w:rsid w:val="00FE237D"/>
    <w:rsid w:val="00FE38DD"/>
    <w:rsid w:val="00FF1D1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35F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ED50F9-0658-46E8-A6E6-D0A9D0EE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1617</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29</cp:revision>
  <cp:lastPrinted>2026-04-13T06:24:00Z</cp:lastPrinted>
  <dcterms:created xsi:type="dcterms:W3CDTF">2025-07-18T12:37:00Z</dcterms:created>
  <dcterms:modified xsi:type="dcterms:W3CDTF">2026-04-14T07:30:00Z</dcterms:modified>
</cp:coreProperties>
</file>