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23268" w:rsidP="00107FC2">
            <w:pPr>
              <w:rPr>
                <w:sz w:val="28"/>
              </w:rPr>
            </w:pPr>
            <w:r>
              <w:rPr>
                <w:sz w:val="28"/>
              </w:rPr>
              <w:t>№ 110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23268" w:rsidP="00107FC2">
            <w:pPr>
              <w:rPr>
                <w:sz w:val="28"/>
              </w:rPr>
            </w:pPr>
            <w:r>
              <w:rPr>
                <w:sz w:val="28"/>
              </w:rPr>
              <w:t xml:space="preserve">от « 08 »          04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981EF2" w:rsidRPr="00981EF2" w:rsidRDefault="00981EF2" w:rsidP="00981EF2">
      <w:pPr>
        <w:widowControl w:val="0"/>
        <w:autoSpaceDE w:val="0"/>
        <w:autoSpaceDN w:val="0"/>
        <w:adjustRightInd w:val="0"/>
        <w:ind w:right="3685"/>
        <w:jc w:val="both"/>
        <w:outlineLvl w:val="2"/>
        <w:rPr>
          <w:bCs/>
          <w:sz w:val="28"/>
          <w:szCs w:val="28"/>
        </w:rPr>
      </w:pPr>
      <w:r w:rsidRPr="00981EF2">
        <w:rPr>
          <w:bCs/>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Мамадышского Муниципального района Республики Татарстан</w:t>
      </w:r>
    </w:p>
    <w:p w:rsidR="00981EF2" w:rsidRDefault="00981EF2" w:rsidP="00981EF2">
      <w:pPr>
        <w:widowControl w:val="0"/>
        <w:autoSpaceDE w:val="0"/>
        <w:autoSpaceDN w:val="0"/>
        <w:adjustRightInd w:val="0"/>
        <w:ind w:right="3685"/>
        <w:jc w:val="both"/>
        <w:outlineLvl w:val="2"/>
        <w:rPr>
          <w:bCs/>
          <w:sz w:val="28"/>
          <w:szCs w:val="28"/>
        </w:rPr>
      </w:pPr>
    </w:p>
    <w:p w:rsidR="00981EF2" w:rsidRPr="00981EF2" w:rsidRDefault="00981EF2" w:rsidP="00981EF2">
      <w:pPr>
        <w:widowControl w:val="0"/>
        <w:autoSpaceDE w:val="0"/>
        <w:autoSpaceDN w:val="0"/>
        <w:adjustRightInd w:val="0"/>
        <w:ind w:right="3685"/>
        <w:jc w:val="both"/>
        <w:outlineLvl w:val="2"/>
        <w:rPr>
          <w:bCs/>
          <w:sz w:val="28"/>
          <w:szCs w:val="28"/>
        </w:rPr>
      </w:pPr>
    </w:p>
    <w:p w:rsidR="00981EF2" w:rsidRDefault="00981EF2" w:rsidP="00981EF2">
      <w:pPr>
        <w:widowControl w:val="0"/>
        <w:autoSpaceDE w:val="0"/>
        <w:autoSpaceDN w:val="0"/>
        <w:adjustRightInd w:val="0"/>
        <w:ind w:firstLine="568"/>
        <w:jc w:val="both"/>
        <w:rPr>
          <w:sz w:val="28"/>
          <w:szCs w:val="28"/>
        </w:rPr>
      </w:pPr>
      <w:r w:rsidRPr="00981EF2">
        <w:rPr>
          <w:sz w:val="28"/>
          <w:szCs w:val="28"/>
        </w:rPr>
        <w:t xml:space="preserve">В соответствии со </w:t>
      </w:r>
      <w:hyperlink r:id="rId10" w:tooltip="’’О государственном регулировании производства и оборота этилового спирта ...’’&#10;Федеральный закон от 22.11.1995 N 171-ФЗ&#10;Статус: Действующая редакция документа (действ. c 01.01.2026 по 28.02.2026)" w:history="1">
        <w:r w:rsidRPr="00981EF2">
          <w:rPr>
            <w:sz w:val="28"/>
            <w:szCs w:val="28"/>
          </w:rPr>
          <w:t>статьей 16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981EF2">
        <w:rPr>
          <w:sz w:val="28"/>
          <w:szCs w:val="28"/>
        </w:rPr>
        <w:t xml:space="preserve"> и на основании </w:t>
      </w:r>
      <w:hyperlink r:id="rId11" w:tooltip="’’Об утверждении Правил определения органами местного самоуправления ...’’&#10;Постановление Правительства РФ от 23.12.2020 N 2220&#10;Статус: Действующий документ. С ограниченным сроком действия (действ. c 01.01.2021 по 31.12.2026)" w:history="1">
        <w:r w:rsidRPr="00981EF2">
          <w:rPr>
            <w:sz w:val="28"/>
            <w:szCs w:val="28"/>
          </w:rPr>
          <w:t>постановления Правительства Российской Федерации от 23.12.2020 N 2220 "Об утверждении Правил определении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hyperlink>
      <w:r w:rsidRPr="00981EF2">
        <w:rPr>
          <w:sz w:val="28"/>
          <w:szCs w:val="28"/>
        </w:rPr>
        <w:t>, Исполнительный комитет Мамадышского муниципального района Республики Татарстан</w:t>
      </w: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 xml:space="preserve"> </w:t>
      </w:r>
      <w:r>
        <w:rPr>
          <w:sz w:val="28"/>
          <w:szCs w:val="28"/>
        </w:rPr>
        <w:t xml:space="preserve"> </w:t>
      </w:r>
      <w:r w:rsidRPr="00981EF2">
        <w:rPr>
          <w:sz w:val="28"/>
          <w:szCs w:val="28"/>
        </w:rPr>
        <w:t>п</w:t>
      </w:r>
      <w:r>
        <w:rPr>
          <w:sz w:val="28"/>
          <w:szCs w:val="28"/>
        </w:rPr>
        <w:t xml:space="preserve"> </w:t>
      </w:r>
      <w:r w:rsidRPr="00981EF2">
        <w:rPr>
          <w:sz w:val="28"/>
          <w:szCs w:val="28"/>
        </w:rPr>
        <w:t>о</w:t>
      </w:r>
      <w:r>
        <w:rPr>
          <w:sz w:val="28"/>
          <w:szCs w:val="28"/>
        </w:rPr>
        <w:t xml:space="preserve">  </w:t>
      </w:r>
      <w:r w:rsidRPr="00981EF2">
        <w:rPr>
          <w:sz w:val="28"/>
          <w:szCs w:val="28"/>
        </w:rPr>
        <w:t>с</w:t>
      </w:r>
      <w:r>
        <w:rPr>
          <w:sz w:val="28"/>
          <w:szCs w:val="28"/>
        </w:rPr>
        <w:t xml:space="preserve"> </w:t>
      </w:r>
      <w:r w:rsidRPr="00981EF2">
        <w:rPr>
          <w:sz w:val="28"/>
          <w:szCs w:val="28"/>
        </w:rPr>
        <w:t>т</w:t>
      </w:r>
      <w:r>
        <w:rPr>
          <w:sz w:val="28"/>
          <w:szCs w:val="28"/>
        </w:rPr>
        <w:t xml:space="preserve"> </w:t>
      </w:r>
      <w:r w:rsidRPr="00981EF2">
        <w:rPr>
          <w:sz w:val="28"/>
          <w:szCs w:val="28"/>
        </w:rPr>
        <w:t>а</w:t>
      </w:r>
      <w:r>
        <w:rPr>
          <w:sz w:val="28"/>
          <w:szCs w:val="28"/>
        </w:rPr>
        <w:t xml:space="preserve"> </w:t>
      </w:r>
      <w:r w:rsidRPr="00981EF2">
        <w:rPr>
          <w:sz w:val="28"/>
          <w:szCs w:val="28"/>
        </w:rPr>
        <w:t>н</w:t>
      </w:r>
      <w:r>
        <w:rPr>
          <w:sz w:val="28"/>
          <w:szCs w:val="28"/>
        </w:rPr>
        <w:t xml:space="preserve"> </w:t>
      </w:r>
      <w:r w:rsidRPr="00981EF2">
        <w:rPr>
          <w:sz w:val="28"/>
          <w:szCs w:val="28"/>
        </w:rPr>
        <w:t>о</w:t>
      </w:r>
      <w:r>
        <w:rPr>
          <w:sz w:val="28"/>
          <w:szCs w:val="28"/>
        </w:rPr>
        <w:t xml:space="preserve"> </w:t>
      </w:r>
      <w:r w:rsidRPr="00981EF2">
        <w:rPr>
          <w:sz w:val="28"/>
          <w:szCs w:val="28"/>
        </w:rPr>
        <w:t>в</w:t>
      </w:r>
      <w:r>
        <w:rPr>
          <w:sz w:val="28"/>
          <w:szCs w:val="28"/>
        </w:rPr>
        <w:t xml:space="preserve"> </w:t>
      </w:r>
      <w:r w:rsidRPr="00981EF2">
        <w:rPr>
          <w:sz w:val="28"/>
          <w:szCs w:val="28"/>
        </w:rPr>
        <w:t>л</w:t>
      </w:r>
      <w:r>
        <w:rPr>
          <w:sz w:val="28"/>
          <w:szCs w:val="28"/>
        </w:rPr>
        <w:t xml:space="preserve"> </w:t>
      </w:r>
      <w:r w:rsidRPr="00981EF2">
        <w:rPr>
          <w:sz w:val="28"/>
          <w:szCs w:val="28"/>
        </w:rPr>
        <w:t>я</w:t>
      </w:r>
      <w:r>
        <w:rPr>
          <w:sz w:val="28"/>
          <w:szCs w:val="28"/>
        </w:rPr>
        <w:t xml:space="preserve"> </w:t>
      </w:r>
      <w:r w:rsidRPr="00981EF2">
        <w:rPr>
          <w:sz w:val="28"/>
          <w:szCs w:val="28"/>
        </w:rPr>
        <w:t>е</w:t>
      </w:r>
      <w:r>
        <w:rPr>
          <w:sz w:val="28"/>
          <w:szCs w:val="28"/>
        </w:rPr>
        <w:t xml:space="preserve"> </w:t>
      </w:r>
      <w:r w:rsidRPr="00981EF2">
        <w:rPr>
          <w:sz w:val="28"/>
          <w:szCs w:val="28"/>
        </w:rPr>
        <w:t>т:</w:t>
      </w:r>
    </w:p>
    <w:p w:rsidR="00981EF2" w:rsidRPr="00981EF2" w:rsidRDefault="00981EF2" w:rsidP="00981EF2">
      <w:pPr>
        <w:widowControl w:val="0"/>
        <w:autoSpaceDE w:val="0"/>
        <w:autoSpaceDN w:val="0"/>
        <w:adjustRightInd w:val="0"/>
        <w:ind w:firstLine="568"/>
        <w:jc w:val="both"/>
        <w:rPr>
          <w:sz w:val="28"/>
          <w:szCs w:val="28"/>
        </w:rPr>
      </w:pPr>
      <w:r>
        <w:rPr>
          <w:sz w:val="28"/>
          <w:szCs w:val="28"/>
        </w:rPr>
        <w:t xml:space="preserve"> </w:t>
      </w:r>
      <w:r w:rsidRPr="00981EF2">
        <w:rPr>
          <w:sz w:val="28"/>
          <w:szCs w:val="28"/>
        </w:rPr>
        <w:t xml:space="preserve">1. Утвердить перечень территорий Мамадышского муниципального района Республики Татарстан и определить границы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согласно </w:t>
      </w:r>
      <w:hyperlink r:id="rId12" w:tooltip="’’Об определении границ прилегающих к некоторым организациям и объектам территорий, на которых не ...’’&#10;Постановление Исполнительного комитета Мензелинского муниципального района Республики Татарстан от ...&#10;Статус: Действующая редакция документа" w:history="1">
        <w:r w:rsidRPr="00981EF2">
          <w:rPr>
            <w:sz w:val="28"/>
            <w:szCs w:val="28"/>
          </w:rPr>
          <w:t>приложению 1</w:t>
        </w:r>
      </w:hyperlink>
      <w:r w:rsidRPr="00981EF2">
        <w:rPr>
          <w:sz w:val="28"/>
          <w:szCs w:val="28"/>
        </w:rPr>
        <w:t>.</w:t>
      </w: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 xml:space="preserve">2. Утвердить механизм 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согласно </w:t>
      </w:r>
      <w:hyperlink r:id="rId13" w:tooltip="’’Об определении границ прилегающих к некоторым организациям и объектам территорий, на которых не ...’’&#10;Постановление Исполнительного комитета Мензелинского муниципального района Республики Татарстан от ...&#10;Статус: Действующая редакция документа" w:history="1">
        <w:r w:rsidRPr="00981EF2">
          <w:rPr>
            <w:sz w:val="28"/>
            <w:szCs w:val="28"/>
          </w:rPr>
          <w:t>приложению N 2</w:t>
        </w:r>
      </w:hyperlink>
      <w:r w:rsidRPr="00981EF2">
        <w:rPr>
          <w:sz w:val="28"/>
          <w:szCs w:val="28"/>
        </w:rPr>
        <w:t>.</w:t>
      </w: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 Отделу территориального развития Исполнительного комитета Мамадышского муниципального района Республики Татарстан довести данное постановление до индивидуальных предпринимателей и организаций, реализующих алкогольную продукцию на территории Мамадышского муниципального района Республики Татарстан.</w:t>
      </w:r>
    </w:p>
    <w:p w:rsidR="00981EF2" w:rsidRPr="00981EF2" w:rsidRDefault="00981EF2" w:rsidP="00981EF2">
      <w:pPr>
        <w:shd w:val="clear" w:color="auto" w:fill="FFFFFF"/>
        <w:ind w:firstLine="567"/>
        <w:jc w:val="both"/>
        <w:rPr>
          <w:sz w:val="28"/>
          <w:szCs w:val="28"/>
        </w:rPr>
      </w:pPr>
      <w:r w:rsidRPr="00981EF2">
        <w:rPr>
          <w:sz w:val="28"/>
          <w:szCs w:val="28"/>
        </w:rPr>
        <w:t xml:space="preserve">4.    Признать постановление Исполнительного комитета Мамадышского муниципального района Республики Татарстан от 17.04.2013г. №488 «Об определении границ прилегающих территорий к некоторым учреждениям и </w:t>
      </w:r>
      <w:r w:rsidRPr="00981EF2">
        <w:rPr>
          <w:sz w:val="28"/>
          <w:szCs w:val="28"/>
        </w:rPr>
        <w:lastRenderedPageBreak/>
        <w:t xml:space="preserve">объектам территорий, на которых не допускается розничная продажа алкогольной продукции» утратившим силу. </w:t>
      </w: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5. Настоящее постановление подлежит официальному опубликованию.</w:t>
      </w:r>
    </w:p>
    <w:p w:rsidR="00981EF2" w:rsidRPr="00981EF2" w:rsidRDefault="00981EF2" w:rsidP="00981EF2">
      <w:pPr>
        <w:shd w:val="clear" w:color="auto" w:fill="FFFFFF"/>
        <w:ind w:firstLine="568"/>
        <w:jc w:val="both"/>
        <w:rPr>
          <w:rFonts w:ascii="Arial" w:hAnsi="Arial" w:cs="Arial"/>
          <w:sz w:val="24"/>
          <w:szCs w:val="24"/>
        </w:rPr>
      </w:pPr>
      <w:r w:rsidRPr="00981EF2">
        <w:rPr>
          <w:sz w:val="28"/>
          <w:szCs w:val="28"/>
        </w:rPr>
        <w:t>6. Контроль за исполнением постановления возложить на заместителя руководителя Исполнительного комитета Мамадышского муниципального района Хазееву О.В.</w:t>
      </w: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r w:rsidRPr="00981EF2">
        <w:rPr>
          <w:sz w:val="28"/>
          <w:szCs w:val="28"/>
        </w:rPr>
        <w:t>    </w:t>
      </w:r>
    </w:p>
    <w:p w:rsidR="00981EF2" w:rsidRPr="00981EF2" w:rsidRDefault="00981EF2" w:rsidP="00981EF2">
      <w:pPr>
        <w:widowControl w:val="0"/>
        <w:autoSpaceDE w:val="0"/>
        <w:autoSpaceDN w:val="0"/>
        <w:adjustRightInd w:val="0"/>
        <w:rPr>
          <w:sz w:val="28"/>
          <w:szCs w:val="28"/>
        </w:rPr>
      </w:pPr>
      <w:r w:rsidRPr="00981EF2">
        <w:rPr>
          <w:sz w:val="28"/>
          <w:szCs w:val="28"/>
        </w:rPr>
        <w:t>Руководитель</w:t>
      </w:r>
      <w:r>
        <w:rPr>
          <w:sz w:val="28"/>
          <w:szCs w:val="28"/>
        </w:rPr>
        <w:t xml:space="preserve">                                                                                                </w:t>
      </w:r>
      <w:r w:rsidRPr="00981EF2">
        <w:rPr>
          <w:sz w:val="28"/>
          <w:szCs w:val="28"/>
        </w:rPr>
        <w:t>А.М. Ефимов</w:t>
      </w:r>
    </w:p>
    <w:p w:rsidR="00981EF2" w:rsidRPr="00981EF2" w:rsidRDefault="00981EF2" w:rsidP="00981EF2">
      <w:pPr>
        <w:widowControl w:val="0"/>
        <w:autoSpaceDE w:val="0"/>
        <w:autoSpaceDN w:val="0"/>
        <w:adjustRightInd w:val="0"/>
        <w:jc w:val="right"/>
        <w:rPr>
          <w:sz w:val="28"/>
          <w:szCs w:val="28"/>
        </w:rPr>
      </w:pPr>
    </w:p>
    <w:p w:rsidR="00981EF2" w:rsidRPr="00981EF2" w:rsidRDefault="00981EF2" w:rsidP="00981EF2">
      <w:pPr>
        <w:widowControl w:val="0"/>
        <w:autoSpaceDE w:val="0"/>
        <w:autoSpaceDN w:val="0"/>
        <w:adjustRightInd w:val="0"/>
        <w:jc w:val="right"/>
        <w:rPr>
          <w:sz w:val="28"/>
          <w:szCs w:val="28"/>
        </w:rPr>
      </w:pPr>
      <w:r w:rsidRPr="00981EF2">
        <w:rPr>
          <w:sz w:val="28"/>
          <w:szCs w:val="28"/>
        </w:rPr>
        <w:t> </w:t>
      </w: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Default="00981EF2" w:rsidP="00981EF2">
      <w:pPr>
        <w:widowControl w:val="0"/>
        <w:autoSpaceDE w:val="0"/>
        <w:autoSpaceDN w:val="0"/>
        <w:adjustRightInd w:val="0"/>
        <w:jc w:val="right"/>
        <w:rPr>
          <w:sz w:val="28"/>
          <w:szCs w:val="28"/>
        </w:rPr>
      </w:pPr>
    </w:p>
    <w:p w:rsidR="00981EF2" w:rsidRPr="00981EF2" w:rsidRDefault="00981EF2" w:rsidP="00981EF2">
      <w:pPr>
        <w:widowControl w:val="0"/>
        <w:autoSpaceDE w:val="0"/>
        <w:autoSpaceDN w:val="0"/>
        <w:adjustRightInd w:val="0"/>
        <w:jc w:val="right"/>
        <w:rPr>
          <w:sz w:val="28"/>
          <w:szCs w:val="28"/>
        </w:rPr>
      </w:pPr>
      <w:r w:rsidRPr="00981EF2">
        <w:rPr>
          <w:sz w:val="28"/>
          <w:szCs w:val="28"/>
        </w:rPr>
        <w:t xml:space="preserve">    </w:t>
      </w:r>
    </w:p>
    <w:tbl>
      <w:tblPr>
        <w:tblStyle w:val="ae"/>
        <w:tblW w:w="0" w:type="auto"/>
        <w:tblInd w:w="5524" w:type="dxa"/>
        <w:tblLook w:val="04A0" w:firstRow="1" w:lastRow="0" w:firstColumn="1" w:lastColumn="0" w:noHBand="0" w:noVBand="1"/>
      </w:tblPr>
      <w:tblGrid>
        <w:gridCol w:w="4530"/>
      </w:tblGrid>
      <w:tr w:rsidR="00981EF2" w:rsidTr="00AB2194">
        <w:tc>
          <w:tcPr>
            <w:tcW w:w="4530" w:type="dxa"/>
            <w:tcBorders>
              <w:top w:val="nil"/>
              <w:left w:val="nil"/>
              <w:bottom w:val="nil"/>
              <w:right w:val="nil"/>
            </w:tcBorders>
          </w:tcPr>
          <w:p w:rsidR="00AB2194" w:rsidRPr="00981EF2" w:rsidRDefault="00AB2194" w:rsidP="00AB2194">
            <w:pPr>
              <w:widowControl w:val="0"/>
              <w:autoSpaceDE w:val="0"/>
              <w:autoSpaceDN w:val="0"/>
              <w:adjustRightInd w:val="0"/>
              <w:jc w:val="both"/>
              <w:rPr>
                <w:sz w:val="24"/>
                <w:szCs w:val="24"/>
              </w:rPr>
            </w:pPr>
            <w:r>
              <w:rPr>
                <w:sz w:val="24"/>
                <w:szCs w:val="24"/>
              </w:rPr>
              <w:lastRenderedPageBreak/>
              <w:t>Приложение № 1</w:t>
            </w:r>
          </w:p>
          <w:p w:rsidR="00AB2194" w:rsidRPr="00981EF2" w:rsidRDefault="00AB2194" w:rsidP="00AB2194">
            <w:pPr>
              <w:widowControl w:val="0"/>
              <w:autoSpaceDE w:val="0"/>
              <w:autoSpaceDN w:val="0"/>
              <w:adjustRightInd w:val="0"/>
              <w:jc w:val="both"/>
              <w:rPr>
                <w:sz w:val="24"/>
                <w:szCs w:val="24"/>
              </w:rPr>
            </w:pPr>
            <w:r w:rsidRPr="00981EF2">
              <w:rPr>
                <w:sz w:val="24"/>
                <w:szCs w:val="24"/>
              </w:rPr>
              <w:t>Утверждено</w:t>
            </w:r>
            <w:r>
              <w:rPr>
                <w:sz w:val="24"/>
                <w:szCs w:val="24"/>
              </w:rPr>
              <w:t xml:space="preserve"> </w:t>
            </w:r>
            <w:r w:rsidRPr="00981EF2">
              <w:rPr>
                <w:sz w:val="24"/>
                <w:szCs w:val="24"/>
              </w:rPr>
              <w:t>постановлением</w:t>
            </w:r>
          </w:p>
          <w:p w:rsidR="00AB2194" w:rsidRPr="00981EF2" w:rsidRDefault="00AB2194" w:rsidP="00AB2194">
            <w:pPr>
              <w:widowControl w:val="0"/>
              <w:autoSpaceDE w:val="0"/>
              <w:autoSpaceDN w:val="0"/>
              <w:adjustRightInd w:val="0"/>
              <w:jc w:val="both"/>
              <w:rPr>
                <w:sz w:val="24"/>
                <w:szCs w:val="24"/>
              </w:rPr>
            </w:pPr>
            <w:r w:rsidRPr="00981EF2">
              <w:rPr>
                <w:sz w:val="24"/>
                <w:szCs w:val="24"/>
              </w:rPr>
              <w:t>Исполнительного комитета</w:t>
            </w:r>
          </w:p>
          <w:p w:rsidR="00AB2194" w:rsidRPr="00981EF2" w:rsidRDefault="00AB2194" w:rsidP="00AB2194">
            <w:pPr>
              <w:widowControl w:val="0"/>
              <w:autoSpaceDE w:val="0"/>
              <w:autoSpaceDN w:val="0"/>
              <w:adjustRightInd w:val="0"/>
              <w:jc w:val="both"/>
              <w:rPr>
                <w:sz w:val="24"/>
                <w:szCs w:val="24"/>
              </w:rPr>
            </w:pPr>
            <w:r>
              <w:rPr>
                <w:sz w:val="24"/>
                <w:szCs w:val="24"/>
              </w:rPr>
              <w:t>Мамадышского  м</w:t>
            </w:r>
            <w:r w:rsidRPr="00981EF2">
              <w:rPr>
                <w:sz w:val="24"/>
                <w:szCs w:val="24"/>
              </w:rPr>
              <w:t>униципального</w:t>
            </w:r>
          </w:p>
          <w:p w:rsidR="00AB2194" w:rsidRPr="00981EF2" w:rsidRDefault="00AB2194" w:rsidP="00AB2194">
            <w:pPr>
              <w:widowControl w:val="0"/>
              <w:autoSpaceDE w:val="0"/>
              <w:autoSpaceDN w:val="0"/>
              <w:adjustRightInd w:val="0"/>
              <w:jc w:val="both"/>
              <w:rPr>
                <w:sz w:val="24"/>
                <w:szCs w:val="24"/>
              </w:rPr>
            </w:pPr>
            <w:r w:rsidRPr="00981EF2">
              <w:rPr>
                <w:sz w:val="24"/>
                <w:szCs w:val="24"/>
              </w:rPr>
              <w:t>района Республики Татарстан</w:t>
            </w:r>
          </w:p>
          <w:p w:rsidR="00981EF2" w:rsidRDefault="00AB2194" w:rsidP="00AB2194">
            <w:pPr>
              <w:widowControl w:val="0"/>
              <w:autoSpaceDE w:val="0"/>
              <w:autoSpaceDN w:val="0"/>
              <w:adjustRightInd w:val="0"/>
              <w:jc w:val="both"/>
              <w:rPr>
                <w:sz w:val="24"/>
                <w:szCs w:val="24"/>
              </w:rPr>
            </w:pPr>
            <w:r w:rsidRPr="00981EF2">
              <w:rPr>
                <w:sz w:val="24"/>
                <w:szCs w:val="24"/>
              </w:rPr>
              <w:t xml:space="preserve">от </w:t>
            </w:r>
            <w:r>
              <w:rPr>
                <w:sz w:val="24"/>
                <w:szCs w:val="24"/>
              </w:rPr>
              <w:t xml:space="preserve">   </w:t>
            </w:r>
            <w:r w:rsidR="00A23268">
              <w:rPr>
                <w:sz w:val="24"/>
                <w:szCs w:val="24"/>
              </w:rPr>
              <w:t xml:space="preserve">08.04. </w:t>
            </w:r>
            <w:r w:rsidRPr="00981EF2">
              <w:rPr>
                <w:sz w:val="24"/>
                <w:szCs w:val="24"/>
              </w:rPr>
              <w:t>2026 года N_</w:t>
            </w:r>
            <w:r w:rsidR="00A23268">
              <w:rPr>
                <w:sz w:val="24"/>
                <w:szCs w:val="24"/>
              </w:rPr>
              <w:t>110</w:t>
            </w:r>
            <w:r w:rsidRPr="00981EF2">
              <w:rPr>
                <w:sz w:val="24"/>
                <w:szCs w:val="24"/>
              </w:rPr>
              <w:t>____</w:t>
            </w:r>
          </w:p>
        </w:tc>
      </w:tr>
    </w:tbl>
    <w:p w:rsidR="00981EF2" w:rsidRDefault="00981EF2" w:rsidP="00981EF2">
      <w:pPr>
        <w:widowControl w:val="0"/>
        <w:autoSpaceDE w:val="0"/>
        <w:autoSpaceDN w:val="0"/>
        <w:adjustRightInd w:val="0"/>
        <w:jc w:val="right"/>
        <w:rPr>
          <w:sz w:val="24"/>
          <w:szCs w:val="24"/>
        </w:rPr>
      </w:pPr>
    </w:p>
    <w:p w:rsidR="00981EF2" w:rsidRDefault="00981EF2" w:rsidP="00981EF2">
      <w:pPr>
        <w:widowControl w:val="0"/>
        <w:autoSpaceDE w:val="0"/>
        <w:autoSpaceDN w:val="0"/>
        <w:adjustRightInd w:val="0"/>
        <w:jc w:val="right"/>
        <w:rPr>
          <w:sz w:val="24"/>
          <w:szCs w:val="24"/>
        </w:rPr>
      </w:pPr>
    </w:p>
    <w:p w:rsidR="00981EF2" w:rsidRPr="00981EF2" w:rsidRDefault="00981EF2" w:rsidP="00981EF2">
      <w:pPr>
        <w:widowControl w:val="0"/>
        <w:autoSpaceDE w:val="0"/>
        <w:autoSpaceDN w:val="0"/>
        <w:adjustRightInd w:val="0"/>
        <w:jc w:val="right"/>
        <w:rPr>
          <w:sz w:val="24"/>
          <w:szCs w:val="24"/>
        </w:rPr>
      </w:pPr>
      <w:r w:rsidRPr="00981EF2">
        <w:rPr>
          <w:sz w:val="24"/>
          <w:szCs w:val="24"/>
        </w:rPr>
        <w:t xml:space="preserve"> </w:t>
      </w:r>
    </w:p>
    <w:p w:rsidR="00981EF2" w:rsidRPr="00981EF2" w:rsidRDefault="00981EF2" w:rsidP="00981EF2">
      <w:pPr>
        <w:widowControl w:val="0"/>
        <w:autoSpaceDE w:val="0"/>
        <w:autoSpaceDN w:val="0"/>
        <w:adjustRightInd w:val="0"/>
        <w:rPr>
          <w:b/>
          <w:bCs/>
          <w:sz w:val="24"/>
          <w:szCs w:val="24"/>
        </w:rPr>
      </w:pPr>
    </w:p>
    <w:p w:rsidR="00981EF2" w:rsidRPr="00981EF2" w:rsidRDefault="00981EF2" w:rsidP="00981EF2">
      <w:pPr>
        <w:widowControl w:val="0"/>
        <w:autoSpaceDE w:val="0"/>
        <w:autoSpaceDN w:val="0"/>
        <w:adjustRightInd w:val="0"/>
        <w:jc w:val="center"/>
        <w:outlineLvl w:val="2"/>
        <w:rPr>
          <w:b/>
          <w:bCs/>
          <w:sz w:val="28"/>
          <w:szCs w:val="28"/>
        </w:rPr>
      </w:pPr>
      <w:r w:rsidRPr="00981EF2">
        <w:rPr>
          <w:b/>
          <w:bCs/>
          <w:sz w:val="28"/>
          <w:szCs w:val="28"/>
        </w:rPr>
        <w:t xml:space="preserve"> ПЕРЕЧЕНЬ ТЕРРИТОРИЙ В МАМАДЫШСКОМ МУНИЦИПАЛЬНОМ РАЙОНЕ РЕСПУБЛИКИ ТАТАРСТАН, ПРИЛЕГАЮЩИХ К НЕКОТОРЫМ ОРГАНИЗАЦИЯМ И ОБЪЕКТАМ, НА КОТОРЫХ НЕ ДОПУСКАЕТСЯ РОЗНИЧНАЯ ПРОДАЖА АЛКОГОЛЬНОЙ ПРОДУКЦИИ</w:t>
      </w:r>
    </w:p>
    <w:p w:rsidR="00981EF2" w:rsidRPr="00981EF2" w:rsidRDefault="00981EF2" w:rsidP="00981EF2">
      <w:pPr>
        <w:widowControl w:val="0"/>
        <w:autoSpaceDE w:val="0"/>
        <w:autoSpaceDN w:val="0"/>
        <w:adjustRightInd w:val="0"/>
        <w:jc w:val="center"/>
        <w:outlineLvl w:val="2"/>
        <w:rPr>
          <w:b/>
          <w:bCs/>
          <w:sz w:val="28"/>
          <w:szCs w:val="28"/>
        </w:rPr>
      </w:pPr>
    </w:p>
    <w:p w:rsidR="00981EF2" w:rsidRPr="00981EF2" w:rsidRDefault="00981EF2" w:rsidP="00981EF2">
      <w:pPr>
        <w:widowControl w:val="0"/>
        <w:autoSpaceDE w:val="0"/>
        <w:autoSpaceDN w:val="0"/>
        <w:adjustRightInd w:val="0"/>
        <w:jc w:val="center"/>
        <w:outlineLvl w:val="2"/>
        <w:rPr>
          <w:b/>
          <w:bCs/>
          <w:sz w:val="28"/>
          <w:szCs w:val="28"/>
        </w:rPr>
      </w:pPr>
    </w:p>
    <w:tbl>
      <w:tblPr>
        <w:tblW w:w="0" w:type="auto"/>
        <w:tblInd w:w="28" w:type="dxa"/>
        <w:tblLayout w:type="fixed"/>
        <w:tblCellMar>
          <w:left w:w="90" w:type="dxa"/>
          <w:right w:w="90" w:type="dxa"/>
        </w:tblCellMar>
        <w:tblLook w:val="04A0" w:firstRow="1" w:lastRow="0" w:firstColumn="1" w:lastColumn="0" w:noHBand="0" w:noVBand="1"/>
      </w:tblPr>
      <w:tblGrid>
        <w:gridCol w:w="630"/>
        <w:gridCol w:w="2250"/>
        <w:gridCol w:w="2865"/>
        <w:gridCol w:w="4142"/>
      </w:tblGrid>
      <w:tr w:rsidR="00981EF2" w:rsidRPr="00981EF2" w:rsidTr="00AB2194">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N п/п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Наименование объекта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торговый объект/объект, оказывающий услуги общественного питания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Размеры прилегающих территорий, на которых не допускается розничная продажа алкогольной продукции </w:t>
            </w:r>
          </w:p>
        </w:tc>
      </w:tr>
      <w:tr w:rsidR="00981EF2" w:rsidRPr="00981EF2" w:rsidTr="00AB2194">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2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3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4 </w:t>
            </w:r>
          </w:p>
        </w:tc>
      </w:tr>
      <w:tr w:rsidR="00981EF2" w:rsidRPr="00981EF2" w:rsidTr="00AB2194">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1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Детские, Образовательные организации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торговый объект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 оказывающий услуги общественного питания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2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Медицинские организации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торговый объект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 оказывающий услуги общественного питания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3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Объекты спорта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w:t>
            </w:r>
            <w:r w:rsidRPr="00981EF2">
              <w:rPr>
                <w:bCs/>
                <w:sz w:val="28"/>
                <w:szCs w:val="28"/>
              </w:rPr>
              <w:lastRenderedPageBreak/>
              <w:t xml:space="preserve">торговый объект </w:t>
            </w:r>
          </w:p>
        </w:tc>
        <w:tc>
          <w:tcPr>
            <w:tcW w:w="4142"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lastRenderedPageBreak/>
              <w:t xml:space="preserve">В зоне не менее 30 метров от </w:t>
            </w:r>
            <w:r w:rsidRPr="00981EF2">
              <w:rPr>
                <w:bCs/>
                <w:sz w:val="28"/>
                <w:szCs w:val="28"/>
              </w:rPr>
              <w:lastRenderedPageBreak/>
              <w:t xml:space="preserve">входа на объект или от входа на обособленную территорию (при ее наличии) </w:t>
            </w:r>
          </w:p>
        </w:tc>
      </w:tr>
      <w:tr w:rsidR="00981EF2" w:rsidRPr="00981EF2" w:rsidTr="00AB2194">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 оказывающий услуги общественного питания </w:t>
            </w:r>
          </w:p>
        </w:tc>
        <w:tc>
          <w:tcPr>
            <w:tcW w:w="4142"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r>
      <w:tr w:rsidR="00981EF2" w:rsidRPr="00981EF2" w:rsidTr="00AB2194">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4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Автовокзалы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торговый объект </w:t>
            </w:r>
          </w:p>
        </w:tc>
        <w:tc>
          <w:tcPr>
            <w:tcW w:w="4142"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 оказывающий услуги общественного питания </w:t>
            </w:r>
          </w:p>
        </w:tc>
        <w:tc>
          <w:tcPr>
            <w:tcW w:w="4142" w:type="dxa"/>
            <w:tcBorders>
              <w:top w:val="nil"/>
              <w:left w:val="single" w:sz="6" w:space="0" w:color="auto"/>
              <w:bottom w:val="nil"/>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r>
      <w:tr w:rsidR="00981EF2" w:rsidRPr="00981EF2" w:rsidTr="00AB2194">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jc w:val="center"/>
              <w:rPr>
                <w:bCs/>
                <w:sz w:val="28"/>
                <w:szCs w:val="28"/>
              </w:rPr>
            </w:pPr>
            <w:r w:rsidRPr="00981EF2">
              <w:rPr>
                <w:bCs/>
                <w:sz w:val="28"/>
                <w:szCs w:val="28"/>
              </w:rPr>
              <w:t xml:space="preserve">5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Места массового скопления и нахождения источников повышенной опасности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Стационарный торговый объект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r w:rsidR="00981EF2" w:rsidRPr="00981EF2" w:rsidTr="00AB2194">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81EF2" w:rsidRPr="00981EF2" w:rsidRDefault="00981EF2" w:rsidP="00981EF2">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Объект, оказывающий услуги общественного питания </w:t>
            </w:r>
          </w:p>
        </w:tc>
        <w:tc>
          <w:tcPr>
            <w:tcW w:w="4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81EF2" w:rsidRPr="00981EF2" w:rsidRDefault="00981EF2" w:rsidP="00981EF2">
            <w:pPr>
              <w:widowControl w:val="0"/>
              <w:autoSpaceDE w:val="0"/>
              <w:autoSpaceDN w:val="0"/>
              <w:adjustRightInd w:val="0"/>
              <w:spacing w:line="256" w:lineRule="auto"/>
              <w:rPr>
                <w:bCs/>
                <w:sz w:val="28"/>
                <w:szCs w:val="28"/>
              </w:rPr>
            </w:pPr>
            <w:r w:rsidRPr="00981EF2">
              <w:rPr>
                <w:bCs/>
                <w:sz w:val="28"/>
                <w:szCs w:val="28"/>
              </w:rPr>
              <w:t xml:space="preserve">В зоне не менее 30 метров от входа на объект или от входа на обособленную территорию (при ее наличии) </w:t>
            </w:r>
          </w:p>
        </w:tc>
      </w:tr>
    </w:tbl>
    <w:p w:rsidR="00981EF2" w:rsidRDefault="00981EF2"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Default="00AB2194" w:rsidP="00981EF2">
      <w:pPr>
        <w:widowControl w:val="0"/>
        <w:autoSpaceDE w:val="0"/>
        <w:autoSpaceDN w:val="0"/>
        <w:adjustRightInd w:val="0"/>
        <w:rPr>
          <w:b/>
          <w:bCs/>
          <w:sz w:val="28"/>
          <w:szCs w:val="28"/>
        </w:rPr>
      </w:pPr>
    </w:p>
    <w:p w:rsidR="00AB2194" w:rsidRPr="00981EF2" w:rsidRDefault="00AB2194" w:rsidP="00981EF2">
      <w:pPr>
        <w:widowControl w:val="0"/>
        <w:autoSpaceDE w:val="0"/>
        <w:autoSpaceDN w:val="0"/>
        <w:adjustRightInd w:val="0"/>
        <w:rPr>
          <w:b/>
          <w:bCs/>
          <w:sz w:val="28"/>
          <w:szCs w:val="28"/>
        </w:rPr>
      </w:pPr>
    </w:p>
    <w:p w:rsidR="00AB2194" w:rsidRPr="00981EF2" w:rsidRDefault="00AB2194" w:rsidP="00AB2194">
      <w:pPr>
        <w:widowControl w:val="0"/>
        <w:autoSpaceDE w:val="0"/>
        <w:autoSpaceDN w:val="0"/>
        <w:adjustRightInd w:val="0"/>
        <w:jc w:val="center"/>
        <w:rPr>
          <w:sz w:val="24"/>
          <w:szCs w:val="24"/>
        </w:rPr>
      </w:pPr>
      <w:r>
        <w:rPr>
          <w:sz w:val="24"/>
          <w:szCs w:val="24"/>
        </w:rPr>
        <w:lastRenderedPageBreak/>
        <w:t xml:space="preserve">                                                                                    Приложение № 2</w:t>
      </w:r>
    </w:p>
    <w:p w:rsidR="00AB2194" w:rsidRPr="00981EF2" w:rsidRDefault="00AB2194" w:rsidP="00AB2194">
      <w:pPr>
        <w:widowControl w:val="0"/>
        <w:autoSpaceDE w:val="0"/>
        <w:autoSpaceDN w:val="0"/>
        <w:adjustRightInd w:val="0"/>
        <w:jc w:val="center"/>
        <w:rPr>
          <w:sz w:val="24"/>
          <w:szCs w:val="24"/>
        </w:rPr>
      </w:pPr>
      <w:r>
        <w:rPr>
          <w:sz w:val="24"/>
          <w:szCs w:val="24"/>
        </w:rPr>
        <w:t xml:space="preserve">                                                                                                        </w:t>
      </w:r>
      <w:r w:rsidRPr="00981EF2">
        <w:rPr>
          <w:sz w:val="24"/>
          <w:szCs w:val="24"/>
        </w:rPr>
        <w:t>Утверждено</w:t>
      </w:r>
      <w:r>
        <w:rPr>
          <w:sz w:val="24"/>
          <w:szCs w:val="24"/>
        </w:rPr>
        <w:t xml:space="preserve"> </w:t>
      </w:r>
      <w:r w:rsidRPr="00981EF2">
        <w:rPr>
          <w:sz w:val="24"/>
          <w:szCs w:val="24"/>
        </w:rPr>
        <w:t>постановлением</w:t>
      </w:r>
    </w:p>
    <w:p w:rsidR="00AB2194" w:rsidRPr="00981EF2" w:rsidRDefault="00AB2194" w:rsidP="00AB2194">
      <w:pPr>
        <w:widowControl w:val="0"/>
        <w:autoSpaceDE w:val="0"/>
        <w:autoSpaceDN w:val="0"/>
        <w:adjustRightInd w:val="0"/>
        <w:jc w:val="center"/>
        <w:rPr>
          <w:sz w:val="24"/>
          <w:szCs w:val="24"/>
        </w:rPr>
      </w:pPr>
      <w:r>
        <w:rPr>
          <w:sz w:val="24"/>
          <w:szCs w:val="24"/>
        </w:rPr>
        <w:t xml:space="preserve">                                                                                                     </w:t>
      </w:r>
      <w:r w:rsidRPr="00981EF2">
        <w:rPr>
          <w:sz w:val="24"/>
          <w:szCs w:val="24"/>
        </w:rPr>
        <w:t>Исполнительного комитета</w:t>
      </w:r>
    </w:p>
    <w:p w:rsidR="00AB2194" w:rsidRPr="00981EF2" w:rsidRDefault="00AB2194" w:rsidP="00AB2194">
      <w:pPr>
        <w:widowControl w:val="0"/>
        <w:autoSpaceDE w:val="0"/>
        <w:autoSpaceDN w:val="0"/>
        <w:adjustRightInd w:val="0"/>
        <w:jc w:val="right"/>
        <w:rPr>
          <w:sz w:val="24"/>
          <w:szCs w:val="24"/>
        </w:rPr>
      </w:pPr>
      <w:r>
        <w:rPr>
          <w:sz w:val="24"/>
          <w:szCs w:val="24"/>
        </w:rPr>
        <w:t>Мамадышского  м</w:t>
      </w:r>
      <w:r w:rsidRPr="00981EF2">
        <w:rPr>
          <w:sz w:val="24"/>
          <w:szCs w:val="24"/>
        </w:rPr>
        <w:t>униципального</w:t>
      </w:r>
    </w:p>
    <w:p w:rsidR="00AB2194" w:rsidRPr="00981EF2" w:rsidRDefault="00AB2194" w:rsidP="00AB2194">
      <w:pPr>
        <w:widowControl w:val="0"/>
        <w:autoSpaceDE w:val="0"/>
        <w:autoSpaceDN w:val="0"/>
        <w:adjustRightInd w:val="0"/>
        <w:jc w:val="center"/>
        <w:rPr>
          <w:sz w:val="24"/>
          <w:szCs w:val="24"/>
        </w:rPr>
      </w:pPr>
      <w:r>
        <w:rPr>
          <w:sz w:val="24"/>
          <w:szCs w:val="24"/>
        </w:rPr>
        <w:t xml:space="preserve">                                                                                                         </w:t>
      </w:r>
      <w:r w:rsidRPr="00981EF2">
        <w:rPr>
          <w:sz w:val="24"/>
          <w:szCs w:val="24"/>
        </w:rPr>
        <w:t>района Республики Татарстан</w:t>
      </w:r>
    </w:p>
    <w:p w:rsidR="00981EF2" w:rsidRDefault="00AB2194" w:rsidP="00AB2194">
      <w:pPr>
        <w:widowControl w:val="0"/>
        <w:autoSpaceDE w:val="0"/>
        <w:autoSpaceDN w:val="0"/>
        <w:adjustRightInd w:val="0"/>
        <w:jc w:val="right"/>
      </w:pPr>
      <w:r w:rsidRPr="00981EF2">
        <w:rPr>
          <w:sz w:val="24"/>
          <w:szCs w:val="24"/>
        </w:rPr>
        <w:t xml:space="preserve">от </w:t>
      </w:r>
      <w:r>
        <w:rPr>
          <w:sz w:val="24"/>
          <w:szCs w:val="24"/>
        </w:rPr>
        <w:t xml:space="preserve"> </w:t>
      </w:r>
      <w:r w:rsidR="00A23268">
        <w:rPr>
          <w:sz w:val="24"/>
          <w:szCs w:val="24"/>
        </w:rPr>
        <w:t xml:space="preserve">08.04.  </w:t>
      </w:r>
      <w:r w:rsidRPr="00981EF2">
        <w:rPr>
          <w:sz w:val="24"/>
          <w:szCs w:val="24"/>
        </w:rPr>
        <w:t>2026 года N_</w:t>
      </w:r>
      <w:r w:rsidR="00A23268">
        <w:rPr>
          <w:sz w:val="24"/>
          <w:szCs w:val="24"/>
        </w:rPr>
        <w:t>110</w:t>
      </w:r>
      <w:bookmarkStart w:id="0" w:name="_GoBack"/>
      <w:bookmarkEnd w:id="0"/>
      <w:r w:rsidRPr="00981EF2">
        <w:rPr>
          <w:sz w:val="24"/>
          <w:szCs w:val="24"/>
        </w:rPr>
        <w:t>____</w:t>
      </w:r>
      <w:r w:rsidR="00981EF2" w:rsidRPr="00981EF2">
        <w:t>    </w:t>
      </w:r>
    </w:p>
    <w:p w:rsidR="00AB2194" w:rsidRPr="00981EF2" w:rsidRDefault="00AB2194" w:rsidP="00AB2194">
      <w:pPr>
        <w:widowControl w:val="0"/>
        <w:autoSpaceDE w:val="0"/>
        <w:autoSpaceDN w:val="0"/>
        <w:adjustRightInd w:val="0"/>
        <w:jc w:val="right"/>
        <w:rPr>
          <w:b/>
          <w:bCs/>
          <w:sz w:val="28"/>
          <w:szCs w:val="28"/>
        </w:rPr>
      </w:pPr>
    </w:p>
    <w:p w:rsidR="00981EF2" w:rsidRPr="00981EF2" w:rsidRDefault="00981EF2" w:rsidP="00981EF2">
      <w:pPr>
        <w:widowControl w:val="0"/>
        <w:autoSpaceDE w:val="0"/>
        <w:autoSpaceDN w:val="0"/>
        <w:adjustRightInd w:val="0"/>
        <w:jc w:val="center"/>
        <w:outlineLvl w:val="2"/>
        <w:rPr>
          <w:b/>
          <w:bCs/>
          <w:sz w:val="28"/>
          <w:szCs w:val="28"/>
        </w:rPr>
      </w:pPr>
      <w:r w:rsidRPr="00981EF2">
        <w:rPr>
          <w:b/>
          <w:bCs/>
          <w:sz w:val="28"/>
          <w:szCs w:val="28"/>
        </w:rPr>
        <w:t xml:space="preserve"> МЕХАНИЗМ ОПРЕДЕЛЕНИЯ ГРАНИЦ ПРИЛЕГАЮЩИХ ТЕРРИТОРИЙ, НА КОТОРЫХ НЕ ДОПУСКАЕТСЯ РОЗНИЧНАЯ ПРОДАЖА АЛКОГОЛЬНОЙ ПРОДУКЦИИ НА ТЕРРИТОРИЙ МАМАДЫШСКОГО МУНИЦИПАЛЬНОГО РАЙОНА РЕСПУБЛИКИ ТАТАРСТАН </w:t>
      </w: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1. Настоящий механизм устанавливает единообразный подход к определению на территории Мамадышского муниципального района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 в котором осуществляется розничная продажа алкогольной продукции.</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Объект, оказывающий услуги общественного питания, - объект хозяйственной деятельности, предназначенный для изготовления продукции общественного питания, создания условий для потребления и реализации продукции общественного питания и покупных товаров (в том числе пищевых продуктов промышленного изготовления), как на месте изготовления, так и вне его по заказам, а также для оказания разнообразных дополнительных услуг, в том числе по организации досуга потребителей.</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Прилегающая территория включает в себя обособленную территорию (при наличии таковой), а также территорию, определяемую с учетом конкретных особенностей местности и застройки, примыкающую к границам обособленной территории либо непосредственно к зданию (строению, сооружению), в котором расположены организации и (или) объекты, указанные в приложении N 1 (далее - дополнительная территория).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2. Дополнительная территория определяется: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а) при наличии обособленной территории - от входа для посетителей на обособленную территорию до входа для посетителей на стационарный торговый объект или объект, оказывающий услуги общественного питания;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 xml:space="preserve">б) при отсутствии обособленной территории - от входа для посетителей в здание (строение, сооружение), в котором расположены организации и (или) объекты, </w:t>
      </w:r>
      <w:r w:rsidRPr="00981EF2">
        <w:rPr>
          <w:sz w:val="28"/>
          <w:szCs w:val="28"/>
        </w:rPr>
        <w:lastRenderedPageBreak/>
        <w:t>указанные в приложении N 1, до входа для посетителей на стационарный торговый объект или объект, оказывающий услуги общественного питания.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При этом под обособленной территорией следует понимать территорию, границы которой обозначены ограждением (объектами искусственного происхождения), прилегающую к зданию (строению, сооружению), в котором расположены организации и (или) объекты, указанные в приложении N 1.</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 Границы прилегающих территорий определяются путем установления расстояния в метрах в следующем порядке:</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3.1. При наличии обособленной территории у организаций, указанных в приложении N 1, расстояние измеряется по кратчайшему расстоянию от входа для посетителей на обособленную территорию до входа для посетителей на стационарный торговый объект, объект, в которых при оказании услуг общественного питания осуществляется розничная продажа алкогольной продукции;</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3.2. При отсутствии обособленной территории дополнительная территория определяется от входа для посетителей в здание (строение, сооружение), в котором расположены организации и (или) объекты до входа посетителей на стационарный торговый объект или объект при оказании услуг общественного питания;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3.3. При наличии у стационарного торгового объекта, объекта, в которых при оказании услуг общественного питания осуществляется розничная продажа алкогольной продукции или здания (строения, сооружения), в котором расположены организации, указанные в приложении N 1, нескольких входов для посетителей расстояние измеряется от каждого входа. Пожарные, запасные и иные входы в здания (строения, сооружения) при определении границ прилегающих территорий не учитываются;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3.4. В случае расположения торговых объектов, организаций в одном здании, расстояние измеряется по кратчайшему расстоянию от входа для посетителей в часть здания, в которой расположен торговый объект, до входа для посетителей в часть здания, которой расположена организация;</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3.5. Размер прилегающих территорий по кратчайшему расстоянию определяется по тротуарам или пешеходным дорожкам (при их отсутствии - по обочинам, велосипедным дорожкам, краям проезжих частей), пешеходным переходам (подземным и надземным). При пересечении пешеходной зоны с проезжей частью расстояние измеряется по ближайшему пешеходному переходу;</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 xml:space="preserve">3.6. Расстояние вдоль тротуаров, пешеходных дорожек, пешеходных переходов измеряется от середины (осевой линии) данных объектов. Под тротуаром следует понимать каменную, деревянную или асфальтовую пешеходную дорожку, располагающуюся сбоку или по бокам улицы, приподнятую над проезжей частью и </w:t>
      </w:r>
      <w:r w:rsidRPr="00981EF2">
        <w:rPr>
          <w:sz w:val="28"/>
          <w:szCs w:val="28"/>
        </w:rPr>
        <w:lastRenderedPageBreak/>
        <w:t>обрамленную бордюром для функционального отделения от нее, элемент обустройства автомобильной дороги, предназначенный для движения пешеходов и примыкающий к проезжей части или отделенный от нее газоном.</w:t>
      </w:r>
    </w:p>
    <w:p w:rsidR="00981EF2" w:rsidRPr="00981EF2" w:rsidRDefault="00981EF2" w:rsidP="00981EF2">
      <w:pPr>
        <w:widowControl w:val="0"/>
        <w:autoSpaceDE w:val="0"/>
        <w:autoSpaceDN w:val="0"/>
        <w:adjustRightInd w:val="0"/>
        <w:ind w:firstLine="568"/>
        <w:jc w:val="both"/>
        <w:rPr>
          <w:sz w:val="28"/>
          <w:szCs w:val="28"/>
        </w:rPr>
      </w:pPr>
    </w:p>
    <w:p w:rsidR="00981EF2" w:rsidRPr="00981EF2" w:rsidRDefault="00981EF2" w:rsidP="00981EF2">
      <w:pPr>
        <w:widowControl w:val="0"/>
        <w:autoSpaceDE w:val="0"/>
        <w:autoSpaceDN w:val="0"/>
        <w:adjustRightInd w:val="0"/>
        <w:ind w:firstLine="568"/>
        <w:jc w:val="both"/>
        <w:rPr>
          <w:sz w:val="28"/>
          <w:szCs w:val="28"/>
        </w:rPr>
      </w:pPr>
      <w:r w:rsidRPr="00981EF2">
        <w:rPr>
          <w:sz w:val="28"/>
          <w:szCs w:val="28"/>
        </w:rPr>
        <w:t>Под пешеходным переходом следует понимать участок проезжей части, обозначенный специальными знаками и (или) разметкой и выделенный для движения пешеходов через дорогу.</w:t>
      </w:r>
    </w:p>
    <w:p w:rsidR="00981EF2" w:rsidRPr="00981EF2" w:rsidRDefault="00981EF2" w:rsidP="00981EF2">
      <w:pPr>
        <w:widowControl w:val="0"/>
        <w:autoSpaceDE w:val="0"/>
        <w:autoSpaceDN w:val="0"/>
        <w:adjustRightInd w:val="0"/>
        <w:ind w:firstLine="568"/>
        <w:jc w:val="both"/>
        <w:rPr>
          <w:sz w:val="28"/>
          <w:szCs w:val="28"/>
        </w:rPr>
      </w:pPr>
    </w:p>
    <w:p w:rsidR="00735827" w:rsidRPr="005A0B9B" w:rsidRDefault="00735827" w:rsidP="005A0B9B">
      <w:pPr>
        <w:widowControl w:val="0"/>
        <w:autoSpaceDE w:val="0"/>
        <w:autoSpaceDN w:val="0"/>
        <w:adjustRightInd w:val="0"/>
        <w:rPr>
          <w:sz w:val="24"/>
          <w:szCs w:val="24"/>
        </w:rPr>
      </w:pPr>
    </w:p>
    <w:sectPr w:rsidR="00735827" w:rsidRPr="005A0B9B"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37" w:rsidRDefault="00A14437">
      <w:r>
        <w:separator/>
      </w:r>
    </w:p>
  </w:endnote>
  <w:endnote w:type="continuationSeparator" w:id="0">
    <w:p w:rsidR="00A14437" w:rsidRDefault="00A1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37" w:rsidRDefault="00A14437">
      <w:r>
        <w:separator/>
      </w:r>
    </w:p>
  </w:footnote>
  <w:footnote w:type="continuationSeparator" w:id="0">
    <w:p w:rsidR="00A14437" w:rsidRDefault="00A14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1EF2"/>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4437"/>
    <w:rsid w:val="00A15F4D"/>
    <w:rsid w:val="00A23268"/>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2194"/>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4D6D"/>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B31C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084738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1311926310&amp;mark=00000000000000000000000000000000000000000000000001V234F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1311926310&amp;mark=00000000000000000000000000000000000000000000000002A654Q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573191683&amp;mark=0000000000000000000000000000000000000000000000000064U0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36487&amp;mark=00000000000000000000000000000000000000000000000000A7M0N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8FBBA93-5C21-4BC0-BD4A-EE27BACD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2026-04-06T06:06:00Z</cp:lastPrinted>
  <dcterms:created xsi:type="dcterms:W3CDTF">2026-04-06T06:07:00Z</dcterms:created>
  <dcterms:modified xsi:type="dcterms:W3CDTF">2026-04-08T07:01:00Z</dcterms:modified>
</cp:coreProperties>
</file>