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A2046" w:rsidP="00107FC2">
            <w:pPr>
              <w:rPr>
                <w:sz w:val="28"/>
              </w:rPr>
            </w:pPr>
            <w:r>
              <w:rPr>
                <w:sz w:val="28"/>
              </w:rPr>
              <w:t>№ 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A204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         02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35706" w:rsidRPr="00A35706" w:rsidRDefault="00050755" w:rsidP="00A3570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Об утверждении программы профилактики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рисков причинения вреда (ущерба) охраняемым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законом ценностям при осуществлении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муниципального земельного контроля</w:t>
      </w:r>
    </w:p>
    <w:p w:rsidR="001535E4" w:rsidRDefault="00A35706" w:rsidP="00A3570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E53CA">
        <w:rPr>
          <w:bCs/>
          <w:sz w:val="28"/>
          <w:szCs w:val="28"/>
        </w:rPr>
        <w:t xml:space="preserve">на территории муниципального образования 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E53CA">
        <w:rPr>
          <w:bCs/>
          <w:sz w:val="28"/>
          <w:szCs w:val="28"/>
        </w:rPr>
        <w:t>«Мамадышский муниципальный район»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bCs/>
          <w:sz w:val="28"/>
          <w:szCs w:val="28"/>
        </w:rPr>
        <w:t xml:space="preserve">Республики Татарстан </w:t>
      </w:r>
      <w:r w:rsidRPr="00EE53CA">
        <w:rPr>
          <w:sz w:val="28"/>
          <w:szCs w:val="28"/>
        </w:rPr>
        <w:t xml:space="preserve">на 2026 год 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35706" w:rsidRPr="00EE53CA" w:rsidRDefault="00EE53CA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            </w:t>
      </w:r>
      <w:r w:rsidR="00A35706" w:rsidRPr="00EE53CA">
        <w:rPr>
          <w:sz w:val="28"/>
          <w:szCs w:val="28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="00A35706" w:rsidRPr="00EE53CA">
          <w:rPr>
            <w:rStyle w:val="ad"/>
            <w:color w:val="000000" w:themeColor="text1"/>
            <w:sz w:val="28"/>
            <w:szCs w:val="28"/>
            <w:u w:val="none"/>
          </w:rPr>
          <w:t>статьей 44</w:t>
        </w:r>
      </w:hyperlink>
      <w:r w:rsidRPr="00EE53CA">
        <w:rPr>
          <w:color w:val="000000" w:themeColor="text1"/>
          <w:sz w:val="28"/>
          <w:szCs w:val="28"/>
        </w:rPr>
        <w:t xml:space="preserve"> </w:t>
      </w:r>
      <w:hyperlink r:id="rId11" w:tgtFrame="_blank" w:history="1">
        <w:r w:rsidR="00A35706" w:rsidRPr="00EE53CA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 от 31.07.2020 № 248-ФЗ</w:t>
        </w:r>
      </w:hyperlink>
      <w:r w:rsidR="00A35706" w:rsidRPr="00EE53CA">
        <w:rPr>
          <w:color w:val="000000" w:themeColor="text1"/>
          <w:sz w:val="28"/>
          <w:szCs w:val="28"/>
        </w:rPr>
        <w:t> «О государственном контроле (надзоре) и муниципальном контроле в Российской Федерации» ,постановлением Правительства Российской Федерации от 25.06.2021 № 990 «Об утверждении Правил разработки и утв</w:t>
      </w:r>
      <w:r w:rsidR="00A35706" w:rsidRPr="00EE53CA">
        <w:rPr>
          <w:sz w:val="28"/>
          <w:szCs w:val="28"/>
        </w:rPr>
        <w:t xml:space="preserve">ерждения контрольными (надзорными) органами программы профилактики рисков причинения вреда (ущерба) охраняемым законом ценностям». Исполнительный комитет Мамадышского муниципального района Республики Татарстан </w:t>
      </w:r>
    </w:p>
    <w:p w:rsidR="00A35706" w:rsidRPr="00EE53CA" w:rsidRDefault="00EE53CA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         </w:t>
      </w:r>
      <w:r w:rsidR="00A35706" w:rsidRPr="00EE53CA">
        <w:rPr>
          <w:sz w:val="28"/>
          <w:szCs w:val="28"/>
        </w:rPr>
        <w:t xml:space="preserve">  п о с т а н о в л я е т:</w:t>
      </w:r>
    </w:p>
    <w:p w:rsidR="00A35706" w:rsidRPr="00EE53CA" w:rsidRDefault="00EE53CA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           </w:t>
      </w:r>
      <w:r w:rsidR="00A35706" w:rsidRPr="00EE53CA">
        <w:rPr>
          <w:sz w:val="28"/>
          <w:szCs w:val="28"/>
        </w:rPr>
        <w:t xml:space="preserve">1. Утвердить </w:t>
      </w:r>
      <w:r w:rsidR="00A35706" w:rsidRPr="00EE53CA">
        <w:rPr>
          <w:bCs/>
          <w:sz w:val="28"/>
          <w:szCs w:val="28"/>
        </w:rPr>
        <w:t xml:space="preserve">Программу профилактики </w:t>
      </w:r>
      <w:r w:rsidR="00A35706" w:rsidRPr="00EE53CA">
        <w:rPr>
          <w:sz w:val="28"/>
          <w:szCs w:val="28"/>
        </w:rPr>
        <w:t xml:space="preserve">рисков причинения вреда охраняемым законом ценностям в сфере осуществления </w:t>
      </w:r>
      <w:r w:rsidR="00A35706" w:rsidRPr="00EE53CA">
        <w:rPr>
          <w:bCs/>
          <w:sz w:val="28"/>
          <w:szCs w:val="28"/>
        </w:rPr>
        <w:t>муниципального земельного контроля органами контроля Мамадышского муниципального района Республики Татарстан на 2026 год (Приложение).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          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35706" w:rsidRPr="00EE53CA" w:rsidRDefault="00EE53CA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         </w:t>
      </w:r>
      <w:r w:rsidR="00A35706" w:rsidRPr="00EE53CA">
        <w:rPr>
          <w:sz w:val="28"/>
          <w:szCs w:val="28"/>
        </w:rPr>
        <w:t xml:space="preserve"> 3.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="00A35706" w:rsidRPr="00EE53CA">
        <w:rPr>
          <w:sz w:val="28"/>
          <w:szCs w:val="28"/>
        </w:rPr>
        <w:t>заместителя руководителя Исполнительного комитета Мамадышского муниципального района Никифорова Р.М.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 xml:space="preserve"> Руководитель                                        </w:t>
      </w:r>
      <w:r w:rsidRPr="00EE53CA">
        <w:rPr>
          <w:sz w:val="28"/>
          <w:szCs w:val="28"/>
        </w:rPr>
        <w:tab/>
      </w:r>
      <w:r w:rsidRPr="00EE53CA">
        <w:rPr>
          <w:sz w:val="28"/>
          <w:szCs w:val="28"/>
        </w:rPr>
        <w:tab/>
        <w:t xml:space="preserve">                           </w:t>
      </w:r>
      <w:r w:rsidR="00EE53CA">
        <w:rPr>
          <w:sz w:val="28"/>
          <w:szCs w:val="28"/>
        </w:rPr>
        <w:t xml:space="preserve">        </w:t>
      </w:r>
      <w:r w:rsidRPr="00EE53CA">
        <w:rPr>
          <w:sz w:val="28"/>
          <w:szCs w:val="28"/>
        </w:rPr>
        <w:t xml:space="preserve">    А.М.Ефимов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A35706" w:rsidRDefault="00A35706" w:rsidP="00A3570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35706" w:rsidRPr="00A35706" w:rsidRDefault="00EE53CA" w:rsidP="00EE53C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="00A35706" w:rsidRPr="00A35706">
        <w:rPr>
          <w:sz w:val="24"/>
          <w:szCs w:val="24"/>
        </w:rPr>
        <w:t>Приложение к постановлению</w:t>
      </w:r>
    </w:p>
    <w:p w:rsidR="00A35706" w:rsidRPr="00A35706" w:rsidRDefault="00EE53CA" w:rsidP="00EE53C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A35706" w:rsidRPr="00A35706">
        <w:rPr>
          <w:sz w:val="24"/>
          <w:szCs w:val="24"/>
        </w:rPr>
        <w:t>Исполнительного комитета</w:t>
      </w:r>
    </w:p>
    <w:p w:rsidR="00A35706" w:rsidRPr="00A35706" w:rsidRDefault="00A35706" w:rsidP="00EE53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35706">
        <w:rPr>
          <w:sz w:val="24"/>
          <w:szCs w:val="24"/>
        </w:rPr>
        <w:t>Мамадышского муниципального района</w:t>
      </w:r>
    </w:p>
    <w:p w:rsidR="00A35706" w:rsidRPr="00A35706" w:rsidRDefault="00EE53CA" w:rsidP="00EE53C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A35706" w:rsidRPr="00A35706">
        <w:rPr>
          <w:sz w:val="24"/>
          <w:szCs w:val="24"/>
        </w:rPr>
        <w:t>Республики Татарстан</w:t>
      </w:r>
    </w:p>
    <w:p w:rsidR="00A35706" w:rsidRPr="00A35706" w:rsidRDefault="00EE53CA" w:rsidP="00EE53C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35706" w:rsidRPr="00A35706">
        <w:rPr>
          <w:sz w:val="24"/>
          <w:szCs w:val="24"/>
        </w:rPr>
        <w:t xml:space="preserve">от  </w:t>
      </w:r>
      <w:r w:rsidR="00CA2046">
        <w:rPr>
          <w:sz w:val="24"/>
          <w:szCs w:val="24"/>
        </w:rPr>
        <w:t>_03.02._</w:t>
      </w:r>
      <w:r w:rsidR="00A35706" w:rsidRPr="00A35706">
        <w:rPr>
          <w:sz w:val="24"/>
          <w:szCs w:val="24"/>
        </w:rPr>
        <w:t xml:space="preserve">2026    № </w:t>
      </w:r>
      <w:r w:rsidR="00CA2046">
        <w:rPr>
          <w:sz w:val="24"/>
          <w:szCs w:val="24"/>
        </w:rPr>
        <w:t>27</w:t>
      </w:r>
      <w:bookmarkStart w:id="0" w:name="_GoBack"/>
      <w:bookmarkEnd w:id="0"/>
      <w:r w:rsidR="00A35706" w:rsidRPr="00A35706">
        <w:rPr>
          <w:sz w:val="24"/>
          <w:szCs w:val="24"/>
        </w:rPr>
        <w:t>____</w:t>
      </w:r>
    </w:p>
    <w:p w:rsidR="00A35706" w:rsidRPr="00A35706" w:rsidRDefault="00A35706" w:rsidP="00EE53CA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35706" w:rsidRPr="00A35706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5706" w:rsidRPr="00A35706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Программа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53CA">
        <w:rPr>
          <w:b/>
          <w:bCs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Pr="00EE53CA">
        <w:rPr>
          <w:b/>
          <w:sz w:val="28"/>
          <w:szCs w:val="28"/>
        </w:rPr>
        <w:t>рисков причинения вреда охраняемым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sz w:val="28"/>
          <w:szCs w:val="28"/>
        </w:rPr>
        <w:t>законом ценностям</w:t>
      </w:r>
      <w:bookmarkEnd w:id="1"/>
      <w:bookmarkEnd w:id="2"/>
      <w:r w:rsidRPr="00EE53CA">
        <w:rPr>
          <w:b/>
          <w:sz w:val="28"/>
          <w:szCs w:val="28"/>
        </w:rPr>
        <w:t xml:space="preserve"> в сфере осуществления </w:t>
      </w:r>
      <w:r w:rsidRPr="00EE53CA">
        <w:rPr>
          <w:b/>
          <w:bCs/>
          <w:sz w:val="28"/>
          <w:szCs w:val="28"/>
        </w:rPr>
        <w:t>муниципального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земельного контроля органами контроля Мамадышского муниципального района Республики Татарстан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на 2026 год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6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068"/>
      </w:tblGrid>
      <w:tr w:rsidR="00A35706" w:rsidRPr="00EE53CA" w:rsidTr="00EE53CA">
        <w:trPr>
          <w:trHeight w:val="551"/>
        </w:trPr>
        <w:tc>
          <w:tcPr>
            <w:tcW w:w="2693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Наименование программы</w:t>
            </w:r>
          </w:p>
        </w:tc>
        <w:tc>
          <w:tcPr>
            <w:tcW w:w="7068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EE53CA">
              <w:rPr>
                <w:bCs/>
                <w:sz w:val="28"/>
                <w:szCs w:val="28"/>
              </w:rPr>
              <w:t>муниципального земельного контроля на территории муниципального образования «Мамадышский муниципальный район» Республики Татарстан</w:t>
            </w:r>
            <w:r w:rsidRPr="00EE53CA">
              <w:rPr>
                <w:sz w:val="28"/>
                <w:szCs w:val="28"/>
              </w:rPr>
              <w:t xml:space="preserve"> на 2026 год (далее – программа профилактики)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</w:p>
        </w:tc>
      </w:tr>
      <w:tr w:rsidR="00A35706" w:rsidRPr="00EE53CA" w:rsidTr="00EE53CA">
        <w:trPr>
          <w:trHeight w:val="1657"/>
        </w:trPr>
        <w:tc>
          <w:tcPr>
            <w:tcW w:w="2693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 xml:space="preserve">Федеральный закон от 31.07.2020 № 248-ФЗ </w:t>
            </w:r>
            <w:r w:rsidRPr="00EE53CA">
              <w:rPr>
                <w:sz w:val="28"/>
                <w:szCs w:val="28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</w:p>
        </w:tc>
      </w:tr>
      <w:tr w:rsidR="00A35706" w:rsidRPr="00EE53CA" w:rsidTr="00EE53CA">
        <w:trPr>
          <w:trHeight w:val="275"/>
        </w:trPr>
        <w:tc>
          <w:tcPr>
            <w:tcW w:w="2693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Разработчик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МКУ «Палата имущественных и земельных отношений» Мамадышского муниципального района РТ</w:t>
            </w:r>
          </w:p>
        </w:tc>
      </w:tr>
      <w:tr w:rsidR="00A35706" w:rsidRPr="00EE53CA" w:rsidTr="00EE53CA">
        <w:trPr>
          <w:trHeight w:val="399"/>
        </w:trPr>
        <w:tc>
          <w:tcPr>
            <w:tcW w:w="2693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Цели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за 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</w:t>
            </w:r>
            <w:r w:rsidRPr="00EE53CA">
              <w:rPr>
                <w:sz w:val="28"/>
                <w:szCs w:val="28"/>
              </w:rPr>
              <w:lastRenderedPageBreak/>
              <w:t>ответственность, на территории Мамадышского муниципального района (далее – муниципальный земельный контроль);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3. Повышение прозрачности деятельности контрольного (надзорного) органа при осуществлении муниципального земельного контроля за деятельностью контролируемых лиц;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4. Снижение при осуществлении муниципального земельного контроля административной нагрузки на контролируемых лиц;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5. Предупреждение нарушения контролируемыми лицами обязательных требований в сфере осуществления муниципального земельного 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A35706" w:rsidRPr="00EE53CA" w:rsidTr="00EE53CA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7068" w:type="dxa"/>
            <w:tcBorders>
              <w:bottom w:val="nil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земельного контроля;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A35706" w:rsidRPr="00EE53CA" w:rsidTr="00EE53CA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</w:p>
        </w:tc>
        <w:tc>
          <w:tcPr>
            <w:tcW w:w="7068" w:type="dxa"/>
            <w:tcBorders>
              <w:top w:val="nil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земельного контроля на территории района у всех участников контрольно-надзорной деятельности </w:t>
            </w:r>
          </w:p>
        </w:tc>
      </w:tr>
      <w:tr w:rsidR="00A35706" w:rsidRPr="00EE53CA" w:rsidTr="00EE53CA">
        <w:trPr>
          <w:trHeight w:val="693"/>
        </w:trPr>
        <w:tc>
          <w:tcPr>
            <w:tcW w:w="2693" w:type="dxa"/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 2026 год 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5706" w:rsidRPr="00EE53CA" w:rsidTr="00EE53CA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t>Источники финансирования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A35706" w:rsidRPr="00EE53CA" w:rsidTr="00EE53CA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bidi="ru-RU"/>
              </w:rPr>
            </w:pPr>
            <w:r w:rsidRPr="00EE53CA">
              <w:rPr>
                <w:sz w:val="28"/>
                <w:szCs w:val="28"/>
                <w:lang w:bidi="ru-RU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земельный контроль (надзор) </w:t>
            </w:r>
            <w:r w:rsidRPr="00EE53CA">
              <w:rPr>
                <w:bCs/>
                <w:sz w:val="28"/>
                <w:szCs w:val="28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EE53CA">
              <w:rPr>
                <w:sz w:val="28"/>
                <w:szCs w:val="28"/>
              </w:rPr>
              <w:t>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3. Внедрение различных способов профилактики;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4. Разработка образцов эффективного, законопослушного поведения контролируемых лиц;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5. Повышение уровня правовой грамотности контролируемых лиц;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6. Обеспечение единообразия понимания предмета контроля контролируемыми лицами;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7. Мотивация контролируемых лиц к добросовестному поведению.</w:t>
            </w:r>
          </w:p>
        </w:tc>
      </w:tr>
    </w:tbl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bidi="ru-RU"/>
        </w:rPr>
      </w:pP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ru-RU"/>
        </w:rPr>
      </w:pPr>
      <w:r w:rsidRPr="00EE53CA">
        <w:rPr>
          <w:b/>
          <w:bCs/>
          <w:sz w:val="28"/>
          <w:szCs w:val="28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1.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«Мамадышский муниципальный район».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bidi="ru-RU"/>
        </w:rPr>
      </w:pPr>
      <w:r w:rsidRPr="00EE53CA">
        <w:rPr>
          <w:b/>
          <w:bCs/>
          <w:sz w:val="28"/>
          <w:szCs w:val="28"/>
          <w:lang w:bidi="ru-RU"/>
        </w:rPr>
        <w:t>Раздел 2. Цели и задачи реализации программы профилактики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bidi="ru-RU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bidi="ru-RU"/>
        </w:rPr>
      </w:pP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2.1. Цели Программы: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2.2. Задачи Программы: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повышение прозрачности осуществляемой Палатой имущественных и земельных отношений Мамадышского муниципального района контрольной деятельности;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EE53CA" w:rsidRDefault="00EE53CA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35706" w:rsidRDefault="00A35706" w:rsidP="00EE53C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Раздел 3. План мероприятий по профилактике нарушений</w:t>
      </w:r>
    </w:p>
    <w:p w:rsidR="00EE53CA" w:rsidRPr="00EE53CA" w:rsidRDefault="00EE53CA" w:rsidP="00EE53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5706" w:rsidRPr="00EE53CA" w:rsidRDefault="001535E4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5706" w:rsidRPr="00EE53CA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2026 год (приложение). </w:t>
      </w:r>
    </w:p>
    <w:p w:rsidR="00A35706" w:rsidRPr="00EE53CA" w:rsidRDefault="00A35706" w:rsidP="00EE53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53CA">
        <w:rPr>
          <w:b/>
          <w:bCs/>
          <w:sz w:val="28"/>
          <w:szCs w:val="28"/>
        </w:rPr>
        <w:t>Раздел 4. Показатели результативности и эффективности Программы.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результативность деятельности Палаты имущественных и земельных отношений Мамадышского муниципального района;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понятность обязательных требований контролируемым лицам;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вовлечение контролируемых лиц во взаимодействие с Палатой имущественных и земельных отношений Мамадышского муниципального района, в том числе в рамках проводимых профилактических мероприятий.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количество проведенных профилактических мероприятий, ед.;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 xml:space="preserve">- количество контролируемых лиц, в отношении которых проведены </w:t>
      </w:r>
      <w:r w:rsidRPr="00EE53CA">
        <w:rPr>
          <w:sz w:val="28"/>
          <w:szCs w:val="28"/>
        </w:rPr>
        <w:lastRenderedPageBreak/>
        <w:t>профилактические мероприятия, ед.;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Палатой имущественных и земельных отношений Мамадышского муниципального района.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53CA">
        <w:rPr>
          <w:sz w:val="28"/>
          <w:szCs w:val="28"/>
        </w:rPr>
        <w:t>Показатели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53CA">
        <w:rPr>
          <w:sz w:val="28"/>
          <w:szCs w:val="28"/>
        </w:rPr>
        <w:t>эффективности и результативности профилактических мероприятий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53CA">
        <w:rPr>
          <w:sz w:val="28"/>
          <w:szCs w:val="28"/>
        </w:rPr>
        <w:t>в 2026 году</w:t>
      </w: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2770"/>
      </w:tblGrid>
      <w:tr w:rsidR="00A35706" w:rsidRPr="00EE53CA" w:rsidTr="00076F0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Величина</w:t>
            </w:r>
          </w:p>
        </w:tc>
      </w:tr>
      <w:tr w:rsidR="00A35706" w:rsidRPr="00EE53CA" w:rsidTr="00076F02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не менее 65%</w:t>
            </w:r>
          </w:p>
        </w:tc>
      </w:tr>
      <w:tr w:rsidR="00A35706" w:rsidRPr="00EE53CA" w:rsidTr="00076F0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не менее 80%</w:t>
            </w:r>
          </w:p>
        </w:tc>
      </w:tr>
      <w:tr w:rsidR="00A35706" w:rsidRPr="00EE53CA" w:rsidTr="00076F0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95%</w:t>
            </w:r>
          </w:p>
        </w:tc>
      </w:tr>
    </w:tbl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1535E4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706" w:rsidRPr="00EE53CA">
        <w:rPr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Экономический эффект от реализованных мероприятий: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lastRenderedPageBreak/>
        <w:t>снижение количества зафиксированных нарушений обязательных требований;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53CA">
        <w:rPr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Приложение</w:t>
      </w: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35706" w:rsidRPr="00EE53CA" w:rsidRDefault="00A35706" w:rsidP="001535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53CA">
        <w:rPr>
          <w:b/>
          <w:bCs/>
          <w:sz w:val="28"/>
          <w:szCs w:val="28"/>
        </w:rPr>
        <w:t>План - график профилактических мероприятий</w:t>
      </w:r>
    </w:p>
    <w:tbl>
      <w:tblPr>
        <w:tblW w:w="10037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3032"/>
      </w:tblGrid>
      <w:tr w:rsidR="00A35706" w:rsidRPr="00EE53CA" w:rsidTr="001535E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153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153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153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153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1535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35706" w:rsidRPr="00EE53CA" w:rsidTr="001535E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A35706" w:rsidRPr="00EE53CA" w:rsidTr="001535E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Информирование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(Размещение 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информации на официальном сайте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Мамадышского муниципального района Республики Татарстан </w:t>
            </w:r>
            <w:hyperlink r:id="rId12" w:history="1">
              <w:r w:rsidRPr="00EE53CA"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 w:rsidRPr="00EE53CA">
              <w:rPr>
                <w:sz w:val="28"/>
                <w:szCs w:val="28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земельного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постоянно,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актуализация по мере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Размещение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результатов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контрольных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1 раз в год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1 раз в год 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Постоянно в приемные дни 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Обобщение практики осуществления</w:t>
            </w:r>
          </w:p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EE53CA"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 w:rsidRPr="00EE53CA">
                <w:rPr>
                  <w:rStyle w:val="ad"/>
                  <w:sz w:val="28"/>
                  <w:szCs w:val="28"/>
                </w:rPr>
                <w:t>.</w:t>
              </w:r>
              <w:r w:rsidRPr="00EE53CA"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не позднее 1 июля года, следующего за отчетным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A35706" w:rsidRPr="00EE53CA" w:rsidTr="001535E4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t xml:space="preserve">не позднее 30 дней со дня получения сведений, указанных в части 1 ст. 49 Федерального закона «О государственном контроле </w:t>
            </w:r>
            <w:r w:rsidRPr="00EE53CA">
              <w:rPr>
                <w:sz w:val="28"/>
                <w:szCs w:val="28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5706" w:rsidRPr="00EE53CA" w:rsidRDefault="00A35706" w:rsidP="00A35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53CA">
              <w:rPr>
                <w:sz w:val="28"/>
                <w:szCs w:val="28"/>
              </w:rPr>
              <w:lastRenderedPageBreak/>
              <w:t>Палата имущественных и земельных отношений Мамадышского муниципального района</w:t>
            </w:r>
          </w:p>
        </w:tc>
      </w:tr>
    </w:tbl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35706" w:rsidRPr="00EE53CA" w:rsidRDefault="00A35706" w:rsidP="00A357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7C64" w:rsidRPr="00CA2046" w:rsidRDefault="00907C64" w:rsidP="00907C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07C64" w:rsidRPr="00CA2046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65" w:rsidRDefault="00BB6165">
      <w:r>
        <w:separator/>
      </w:r>
    </w:p>
  </w:endnote>
  <w:endnote w:type="continuationSeparator" w:id="0">
    <w:p w:rsidR="00BB6165" w:rsidRDefault="00BB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65" w:rsidRDefault="00BB6165">
      <w:r>
        <w:separator/>
      </w:r>
    </w:p>
  </w:footnote>
  <w:footnote w:type="continuationSeparator" w:id="0">
    <w:p w:rsidR="00BB6165" w:rsidRDefault="00BB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535E4"/>
    <w:rsid w:val="00170F56"/>
    <w:rsid w:val="00175ECA"/>
    <w:rsid w:val="00180CD3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5706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B6165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A2046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53CA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415F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96C595-9467-4113-A2A7-495E3DF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2026-01-22T08:26:00Z</cp:lastPrinted>
  <dcterms:created xsi:type="dcterms:W3CDTF">2026-01-22T08:27:00Z</dcterms:created>
  <dcterms:modified xsi:type="dcterms:W3CDTF">2026-02-03T06:52:00Z</dcterms:modified>
</cp:coreProperties>
</file>