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A7F7E" w:rsidP="00107FC2">
            <w:pPr>
              <w:rPr>
                <w:sz w:val="28"/>
              </w:rPr>
            </w:pPr>
            <w:r>
              <w:rPr>
                <w:sz w:val="28"/>
              </w:rPr>
              <w:t>№ 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7F7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16»        01        </w:t>
            </w:r>
            <w:r w:rsidR="00023909">
              <w:rPr>
                <w:sz w:val="28"/>
              </w:rPr>
              <w:t>202</w:t>
            </w:r>
            <w:r w:rsidR="00CB090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 xml:space="preserve">жилищные услуги, предоставляемых </w:t>
      </w: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населению Мамадышского муниципального </w:t>
      </w: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2026 год</w:t>
      </w: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CB0900" w:rsidRDefault="00CB0900" w:rsidP="00CB09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CB0900" w:rsidRDefault="00CB0900" w:rsidP="00CB0900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на территории Мамадышского муниципального района Республики Татарстан на 2026 год:</w:t>
      </w:r>
    </w:p>
    <w:p w:rsidR="00CB0900" w:rsidRDefault="00CB0900" w:rsidP="00CB0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фонда,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а также собственников жилых помещений, которые не приняли решение о выборе способа управления многоквартирным жилым домом согласно приложению № 1;</w:t>
      </w:r>
    </w:p>
    <w:p w:rsidR="00CB0900" w:rsidRDefault="00CB0900" w:rsidP="00CB0900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фонда), согласно приложению № 2.</w:t>
      </w:r>
    </w:p>
    <w:p w:rsidR="00CB0900" w:rsidRDefault="00CB0900" w:rsidP="00CB0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CB0900" w:rsidRDefault="00CB0900" w:rsidP="00CB0900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>3. Контроль за исполнением оставляю за собой.</w:t>
      </w: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А.М.Ефимов</w:t>
      </w: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ind w:left="4809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Исполнительного 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комитета Мамадышского муниципального 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>района Республики Татарстан</w:t>
      </w:r>
    </w:p>
    <w:p w:rsidR="00CB0900" w:rsidRDefault="008A7F7E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>от  16.01.2026    № 8</w:t>
      </w:r>
      <w:r w:rsidR="00CB0900">
        <w:rPr>
          <w:sz w:val="24"/>
          <w:szCs w:val="24"/>
        </w:rPr>
        <w:t xml:space="preserve"> </w:t>
      </w:r>
    </w:p>
    <w:p w:rsidR="00CB0900" w:rsidRDefault="00CB0900" w:rsidP="00CB090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0900" w:rsidRDefault="00CB0900" w:rsidP="00CB09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CB0900" w:rsidRDefault="00CB0900" w:rsidP="00CB09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CB0900" w:rsidRDefault="00CB0900" w:rsidP="00CB090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фонда,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а также собственников жилых помещений, которые не приняли решение о выборе способа управления многоквартирным жилым домом</w:t>
      </w:r>
    </w:p>
    <w:p w:rsidR="00CB0900" w:rsidRDefault="00CB0900" w:rsidP="00CB0900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2002"/>
        <w:gridCol w:w="1839"/>
      </w:tblGrid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01.01.2026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01.10.2026 г.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3,32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2,40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3,27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Дератизация (дезинфекция)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инженерных сетей: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внутридомовых санитарно-технических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внутридомовых газовых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внутридомовых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внутридомовых сетей центрального отопления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Техническое обслуживание и ремонт дымоходов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жидких бытовых отходов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и ремонт систем коллективного приема телевидения (при наличии)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противопожарной автоматики (при наличии услуги)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контейнерных площадок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домофона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CB0900" w:rsidTr="00CB0900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диагностирование внутридомового газового оборудования (начисления платежа производится в течение 12 месяцев, предшествующих началу срока проведения диагностирования)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0,70*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0,70*</w:t>
            </w:r>
          </w:p>
        </w:tc>
      </w:tr>
    </w:tbl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  <w:r>
        <w:rPr>
          <w:sz w:val="28"/>
          <w:szCs w:val="28"/>
        </w:rPr>
        <w:t>*для МКД, по которым истекло 30 лет со дня ввода газопровода в эксплуатацию</w:t>
      </w: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 руководителя                                                                   О.В.Потеряхина                                                 </w:t>
      </w: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8"/>
          <w:szCs w:val="28"/>
        </w:rPr>
      </w:pPr>
    </w:p>
    <w:p w:rsidR="00CB0900" w:rsidRDefault="00CB0900" w:rsidP="00CB0900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Исполнительного 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комитета Мамадышского муниципального </w:t>
      </w:r>
    </w:p>
    <w:p w:rsidR="00CB0900" w:rsidRDefault="00CB0900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>района Республики Татарстан</w:t>
      </w:r>
    </w:p>
    <w:p w:rsidR="00CB0900" w:rsidRDefault="008A7F7E" w:rsidP="00CB0900">
      <w:pPr>
        <w:ind w:left="5529"/>
        <w:rPr>
          <w:sz w:val="24"/>
          <w:szCs w:val="24"/>
        </w:rPr>
      </w:pPr>
      <w:r>
        <w:rPr>
          <w:sz w:val="24"/>
          <w:szCs w:val="24"/>
        </w:rPr>
        <w:t>от   16.01.2026  № 8</w:t>
      </w:r>
      <w:bookmarkStart w:id="0" w:name="_GoBack"/>
      <w:bookmarkEnd w:id="0"/>
      <w:r w:rsidR="00CB0900">
        <w:rPr>
          <w:sz w:val="24"/>
          <w:szCs w:val="24"/>
        </w:rPr>
        <w:t xml:space="preserve"> </w:t>
      </w: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CB0900" w:rsidRDefault="00CB0900" w:rsidP="00CB0900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CB0900" w:rsidTr="00CB0900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01.01.2026 г.</w:t>
            </w:r>
          </w:p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01.10.2026 г.</w:t>
            </w:r>
          </w:p>
        </w:tc>
      </w:tr>
      <w:tr w:rsidR="00CB0900" w:rsidTr="00CB0900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00" w:rsidRDefault="00CB0900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6,71</w:t>
            </w:r>
          </w:p>
        </w:tc>
      </w:tr>
    </w:tbl>
    <w:p w:rsidR="00CB0900" w:rsidRDefault="00CB0900" w:rsidP="00CB0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  <w:r w:rsidRPr="00CB0900">
        <w:rPr>
          <w:sz w:val="28"/>
          <w:szCs w:val="28"/>
        </w:rPr>
        <w:t xml:space="preserve">Заместитель  руководителя                                                                   О.В.Потеряхина                                                 </w:t>
      </w: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sz w:val="28"/>
          <w:szCs w:val="28"/>
        </w:rPr>
      </w:pPr>
    </w:p>
    <w:p w:rsidR="00CB0900" w:rsidRDefault="00CB0900" w:rsidP="00CB0900">
      <w:pPr>
        <w:jc w:val="both"/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jc w:val="both"/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jc w:val="both"/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jc w:val="both"/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jc w:val="both"/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rPr>
          <w:rFonts w:ascii="Arial" w:hAnsi="Arial" w:cs="Arial"/>
          <w:sz w:val="24"/>
          <w:szCs w:val="24"/>
        </w:rPr>
      </w:pPr>
    </w:p>
    <w:p w:rsidR="00CB0900" w:rsidRDefault="00CB0900" w:rsidP="00CB0900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CB0900" w:rsidRDefault="00CB0900" w:rsidP="00CB0900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CB0900" w:rsidRDefault="00CB0900" w:rsidP="00CB0900">
      <w:pPr>
        <w:rPr>
          <w:sz w:val="28"/>
          <w:szCs w:val="28"/>
        </w:rPr>
      </w:pPr>
    </w:p>
    <w:p w:rsidR="00CB0900" w:rsidRDefault="00CB0900" w:rsidP="00CB090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0900" w:rsidRDefault="00CB0900" w:rsidP="00CB0900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30" w:rsidRDefault="00322C30">
      <w:r>
        <w:separator/>
      </w:r>
    </w:p>
  </w:endnote>
  <w:endnote w:type="continuationSeparator" w:id="0">
    <w:p w:rsidR="00322C30" w:rsidRDefault="0032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30" w:rsidRDefault="00322C30">
      <w:r>
        <w:separator/>
      </w:r>
    </w:p>
  </w:footnote>
  <w:footnote w:type="continuationSeparator" w:id="0">
    <w:p w:rsidR="00322C30" w:rsidRDefault="0032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4F6E9E"/>
    <w:multiLevelType w:val="hybridMultilevel"/>
    <w:tmpl w:val="7820FD30"/>
    <w:numStyleLink w:val="4"/>
  </w:abstractNum>
  <w:abstractNum w:abstractNumId="1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17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22C30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337C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A7F7E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B0900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F4B9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D009F6-46EB-4879-B266-AF4AAA4E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2026-01-15T05:16:00Z</cp:lastPrinted>
  <dcterms:created xsi:type="dcterms:W3CDTF">2026-01-15T05:16:00Z</dcterms:created>
  <dcterms:modified xsi:type="dcterms:W3CDTF">2026-01-16T11:05:00Z</dcterms:modified>
</cp:coreProperties>
</file>