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2A72" w:rsidRPr="009967F3" w:rsidRDefault="00812A72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812A72" w:rsidRPr="009967F3" w:rsidRDefault="00812A72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023909">
              <w:rPr>
                <w:sz w:val="28"/>
              </w:rPr>
              <w:t>_»_____________202</w:t>
            </w:r>
            <w:r w:rsidR="003C2B91">
              <w:rPr>
                <w:sz w:val="28"/>
              </w:rPr>
              <w:t>5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64D59" w:rsidRPr="00812A72" w:rsidRDefault="00050755" w:rsidP="00812A7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 w:rsidRPr="00812A72">
        <w:rPr>
          <w:bCs/>
          <w:sz w:val="28"/>
          <w:szCs w:val="28"/>
        </w:rPr>
        <w:t>Об определении мест отбывания уголовного</w:t>
      </w:r>
    </w:p>
    <w:p w:rsidR="00812A72" w:rsidRDefault="00812A72" w:rsidP="00812A72">
      <w:pPr>
        <w:widowControl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 w:rsidRPr="00812A72">
        <w:rPr>
          <w:bCs/>
          <w:sz w:val="28"/>
          <w:szCs w:val="28"/>
        </w:rPr>
        <w:t xml:space="preserve">наказания в виде исправительных и 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 w:rsidRPr="00812A72">
        <w:rPr>
          <w:bCs/>
          <w:sz w:val="28"/>
          <w:szCs w:val="28"/>
        </w:rPr>
        <w:t>обязательных работ</w:t>
      </w:r>
    </w:p>
    <w:p w:rsidR="00812A72" w:rsidRDefault="00812A72" w:rsidP="00812A7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t xml:space="preserve">В соответствии со </w:t>
      </w:r>
      <w:r w:rsidRPr="00812A72">
        <w:rPr>
          <w:sz w:val="28"/>
          <w:szCs w:val="28"/>
        </w:rPr>
        <w:fldChar w:fldCharType="begin"/>
      </w:r>
      <w:r w:rsidRPr="00812A72">
        <w:rPr>
          <w:sz w:val="28"/>
          <w:szCs w:val="28"/>
        </w:rPr>
        <w:instrText xml:space="preserve"> HYPERLINK "kodeks://link/d?nd=9017477&amp;mark=000000000000000000000000000000000000000000000000008PO0M2"\o"’’Уголовный кодекс Российской Федерации (с изменениями на 24 июня 2025 года)’’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Кодекс РФ от 13.06.1996 N 63-ФЗ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Статус: Действующая редакция документа (действ. c 05.07.2025 по 31.08.2025)"</w:instrText>
      </w:r>
      <w:r w:rsidRPr="00812A72">
        <w:rPr>
          <w:sz w:val="28"/>
          <w:szCs w:val="28"/>
        </w:rPr>
      </w:r>
      <w:r w:rsidRPr="00812A72">
        <w:rPr>
          <w:sz w:val="28"/>
          <w:szCs w:val="28"/>
        </w:rPr>
        <w:fldChar w:fldCharType="separate"/>
      </w:r>
      <w:r w:rsidRPr="00812A72">
        <w:rPr>
          <w:sz w:val="28"/>
          <w:szCs w:val="28"/>
        </w:rPr>
        <w:t>ст. 49</w:t>
      </w:r>
      <w:r w:rsidRPr="00812A72">
        <w:rPr>
          <w:sz w:val="28"/>
          <w:szCs w:val="28"/>
        </w:rPr>
        <w:fldChar w:fldCharType="end"/>
      </w:r>
      <w:r w:rsidRPr="00812A72">
        <w:rPr>
          <w:sz w:val="28"/>
          <w:szCs w:val="28"/>
        </w:rPr>
        <w:t xml:space="preserve"> ч. 1, </w:t>
      </w:r>
      <w:r w:rsidRPr="00812A72">
        <w:rPr>
          <w:sz w:val="28"/>
          <w:szCs w:val="28"/>
        </w:rPr>
        <w:fldChar w:fldCharType="begin"/>
      </w:r>
      <w:r w:rsidRPr="00812A72">
        <w:rPr>
          <w:sz w:val="28"/>
          <w:szCs w:val="28"/>
        </w:rPr>
        <w:instrText xml:space="preserve"> HYPERLINK "kodeks://link/d?nd=9017477&amp;mark=000000000000000000000000000000000000000000000000008PI0LU"\o"’’Уголовный кодекс Российской Федерации (с изменениями на 24 июня 2025 года)’’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Кодекс РФ от 13.06.1996 N 63-ФЗ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Статус: Действующая редакция документа (действ. c 05.07.2025 по 31.08.2025)"</w:instrText>
      </w:r>
      <w:r w:rsidRPr="00812A72">
        <w:rPr>
          <w:sz w:val="28"/>
          <w:szCs w:val="28"/>
        </w:rPr>
      </w:r>
      <w:r w:rsidRPr="00812A72">
        <w:rPr>
          <w:sz w:val="28"/>
          <w:szCs w:val="28"/>
        </w:rPr>
        <w:fldChar w:fldCharType="separate"/>
      </w:r>
      <w:r w:rsidRPr="00812A72">
        <w:rPr>
          <w:sz w:val="28"/>
          <w:szCs w:val="28"/>
        </w:rPr>
        <w:t>ст. 50</w:t>
      </w:r>
      <w:r w:rsidRPr="00812A72">
        <w:rPr>
          <w:sz w:val="28"/>
          <w:szCs w:val="28"/>
        </w:rPr>
        <w:fldChar w:fldCharType="end"/>
      </w:r>
      <w:r w:rsidRPr="00812A72">
        <w:rPr>
          <w:sz w:val="28"/>
          <w:szCs w:val="28"/>
        </w:rPr>
        <w:t xml:space="preserve"> ч. 1 </w:t>
      </w:r>
      <w:r w:rsidRPr="00812A72">
        <w:rPr>
          <w:sz w:val="28"/>
          <w:szCs w:val="28"/>
        </w:rPr>
        <w:fldChar w:fldCharType="begin"/>
      </w:r>
      <w:r w:rsidRPr="00812A72">
        <w:rPr>
          <w:sz w:val="28"/>
          <w:szCs w:val="28"/>
        </w:rPr>
        <w:instrText xml:space="preserve"> HYPERLINK "kodeks://link/d?nd=9017477"\o"’’Уголовный кодекс Российской Федерации (с изменениями на 24 июня 2025 года)’’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Кодекс РФ от 13.06.1996 N 63-ФЗ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Статус: Действующая редакция документа (действ. c 05.07.2025 по 31.08.2025)"</w:instrText>
      </w:r>
      <w:r w:rsidRPr="00812A72">
        <w:rPr>
          <w:sz w:val="28"/>
          <w:szCs w:val="28"/>
        </w:rPr>
      </w:r>
      <w:r w:rsidRPr="00812A72">
        <w:rPr>
          <w:sz w:val="28"/>
          <w:szCs w:val="28"/>
        </w:rPr>
        <w:fldChar w:fldCharType="separate"/>
      </w:r>
      <w:r w:rsidRPr="00812A72">
        <w:rPr>
          <w:sz w:val="28"/>
          <w:szCs w:val="28"/>
        </w:rPr>
        <w:t>Уголовного кодекса Российской Федерации</w:t>
      </w:r>
      <w:r w:rsidRPr="00812A72">
        <w:rPr>
          <w:sz w:val="28"/>
          <w:szCs w:val="28"/>
        </w:rPr>
        <w:fldChar w:fldCharType="end"/>
      </w:r>
      <w:r w:rsidRPr="00812A72">
        <w:rPr>
          <w:sz w:val="28"/>
          <w:szCs w:val="28"/>
        </w:rPr>
        <w:t xml:space="preserve"> и со </w:t>
      </w:r>
      <w:r w:rsidRPr="00812A72">
        <w:rPr>
          <w:sz w:val="28"/>
          <w:szCs w:val="28"/>
        </w:rPr>
        <w:fldChar w:fldCharType="begin"/>
      </w:r>
      <w:r w:rsidRPr="00812A72">
        <w:rPr>
          <w:sz w:val="28"/>
          <w:szCs w:val="28"/>
        </w:rPr>
        <w:instrText xml:space="preserve"> HYPERLINK "kodeks://link/d?nd=9035522&amp;mark=000000000000000000000000000000000000000000000000008OU0LR"\o"’’Уголовно-исполнительный кодекс Российской Федерации (с изменениями на 28 декабря 2024 года)’’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Кодекс РФ от 08.01.1997 N 1-ФЗ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Статус: Действующая редакция документа (действ. c 27.06.2025)"</w:instrText>
      </w:r>
      <w:r w:rsidRPr="00812A72">
        <w:rPr>
          <w:sz w:val="28"/>
          <w:szCs w:val="28"/>
        </w:rPr>
      </w:r>
      <w:r w:rsidRPr="00812A72">
        <w:rPr>
          <w:sz w:val="28"/>
          <w:szCs w:val="28"/>
        </w:rPr>
        <w:fldChar w:fldCharType="separate"/>
      </w:r>
      <w:r w:rsidRPr="00812A72">
        <w:rPr>
          <w:sz w:val="28"/>
          <w:szCs w:val="28"/>
        </w:rPr>
        <w:t>ст. 25</w:t>
      </w:r>
      <w:r w:rsidRPr="00812A72">
        <w:rPr>
          <w:sz w:val="28"/>
          <w:szCs w:val="28"/>
        </w:rPr>
        <w:fldChar w:fldCharType="end"/>
      </w:r>
      <w:r w:rsidRPr="00812A72">
        <w:rPr>
          <w:sz w:val="28"/>
          <w:szCs w:val="28"/>
        </w:rPr>
        <w:t xml:space="preserve"> ч. 1, </w:t>
      </w:r>
      <w:r w:rsidRPr="00812A72">
        <w:rPr>
          <w:sz w:val="28"/>
          <w:szCs w:val="28"/>
        </w:rPr>
        <w:fldChar w:fldCharType="begin"/>
      </w:r>
      <w:r w:rsidRPr="00812A72">
        <w:rPr>
          <w:sz w:val="28"/>
          <w:szCs w:val="28"/>
        </w:rPr>
        <w:instrText xml:space="preserve"> HYPERLINK "kodeks://link/d?nd=9035522&amp;mark=000000000000000000000000000000000000000000000000008PI0M0"\o"’’Уголовно-исполнительный кодекс Российской Федерации (с изменениями на 28 декабря 2024 года)’’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Кодекс РФ от 08.01.1997 N 1-ФЗ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Статус: Действующая редакция документа (действ. c 27.06.2025)"</w:instrText>
      </w:r>
      <w:r w:rsidRPr="00812A72">
        <w:rPr>
          <w:sz w:val="28"/>
          <w:szCs w:val="28"/>
        </w:rPr>
      </w:r>
      <w:r w:rsidRPr="00812A72">
        <w:rPr>
          <w:sz w:val="28"/>
          <w:szCs w:val="28"/>
        </w:rPr>
        <w:fldChar w:fldCharType="separate"/>
      </w:r>
      <w:r w:rsidRPr="00812A72">
        <w:rPr>
          <w:sz w:val="28"/>
          <w:szCs w:val="28"/>
        </w:rPr>
        <w:t>ст. 39</w:t>
      </w:r>
      <w:r w:rsidRPr="00812A72">
        <w:rPr>
          <w:sz w:val="28"/>
          <w:szCs w:val="28"/>
        </w:rPr>
        <w:fldChar w:fldCharType="end"/>
      </w:r>
      <w:r w:rsidRPr="00812A72">
        <w:rPr>
          <w:sz w:val="28"/>
          <w:szCs w:val="28"/>
        </w:rPr>
        <w:t xml:space="preserve"> ч. 1 </w:t>
      </w:r>
      <w:r w:rsidRPr="00812A72">
        <w:rPr>
          <w:sz w:val="28"/>
          <w:szCs w:val="28"/>
        </w:rPr>
        <w:fldChar w:fldCharType="begin"/>
      </w:r>
      <w:r w:rsidRPr="00812A72">
        <w:rPr>
          <w:sz w:val="28"/>
          <w:szCs w:val="28"/>
        </w:rPr>
        <w:instrText xml:space="preserve"> HYPERLINK "kodeks://link/d?nd=9035522"\o"’’Уголовно-исполнительный кодекс Российской Федерации (с изменениями на 28 декабря 2024 года)’’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Кодекс РФ от 08.01.1997 N 1-ФЗ</w:instrText>
      </w:r>
    </w:p>
    <w:p w:rsid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Статус: Действующая редакция документа (действ. c 27.06.2025)"</w:instrText>
      </w:r>
      <w:r w:rsidRPr="00812A72">
        <w:rPr>
          <w:sz w:val="28"/>
          <w:szCs w:val="28"/>
        </w:rPr>
      </w:r>
      <w:r w:rsidRPr="00812A72">
        <w:rPr>
          <w:sz w:val="28"/>
          <w:szCs w:val="28"/>
        </w:rPr>
        <w:fldChar w:fldCharType="separate"/>
      </w:r>
      <w:r w:rsidRPr="00812A72">
        <w:rPr>
          <w:sz w:val="28"/>
          <w:szCs w:val="28"/>
        </w:rPr>
        <w:t>Уголовно-исполнительного кодекса Российской Федерации</w:t>
      </w:r>
      <w:r w:rsidRPr="00812A72">
        <w:rPr>
          <w:sz w:val="28"/>
          <w:szCs w:val="28"/>
        </w:rPr>
        <w:fldChar w:fldCharType="end"/>
      </w:r>
      <w:r w:rsidRPr="00812A72">
        <w:rPr>
          <w:sz w:val="28"/>
          <w:szCs w:val="28"/>
        </w:rPr>
        <w:t>, в целях актуализации перечня объектов обязательных работ, а также мест для отбывания наказания в виде исправительных работ лицами, состоящими на учете Елабужского межмуниципального филиала ФКУ УИИ УФСИН России по РТ, которые проживают на территории Мамадышского муниципального района Республики Татарстан, Исполнительный комитет Мамадышского муниципальн</w:t>
      </w:r>
      <w:r>
        <w:rPr>
          <w:sz w:val="28"/>
          <w:szCs w:val="28"/>
        </w:rPr>
        <w:t xml:space="preserve">ого района Республики Татарстан  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t>п о</w:t>
      </w:r>
      <w:r>
        <w:rPr>
          <w:sz w:val="28"/>
          <w:szCs w:val="28"/>
        </w:rPr>
        <w:t xml:space="preserve"> </w:t>
      </w:r>
      <w:r w:rsidRPr="00812A7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12A7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12A7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12A7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12A7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12A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12A7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12A7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12A7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12A72">
        <w:rPr>
          <w:sz w:val="28"/>
          <w:szCs w:val="28"/>
        </w:rPr>
        <w:t>т: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t>1. Утвердить перечень организаций и учреждений для отбывания уголовного наказания осужденными к обязательным работам лицами, проживающими на территории Мамадышского муниципального района Республики Татарстан (Приложение 1).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t>2. Утвердить перечень организаций и учреждений для отбывания уголовного наказания осужденными к исправительным работам лицами, проживающими на территории Мамадышского муниципального района Республики Татарстан (Приложение 2).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812A72">
        <w:rPr>
          <w:color w:val="000000"/>
          <w:sz w:val="28"/>
          <w:szCs w:val="28"/>
        </w:rPr>
        <w:t xml:space="preserve">3. Рекомендовать руководителям организаций и учреждений, входящих в объекты, указанные в приложении №1 и №2 к настоящему Постановлению, по согласованию с Елабужским межмуниципальным филиалом ФКУ УИИ УФСИН России по РТ (далее – инспекцией) в соответствии со </w:t>
      </w:r>
      <w:hyperlink r:id="rId9" w:tooltip="’’Уголовно-исполнительный кодекс Российской Федерации (с изменениями на 23 марта 2024 года)’’Кодекс РФ от 08.01.1997 N 1-ФЗСтатус: Действующая редакция документа (действ. c 20.09.2024)" w:history="1">
        <w:r w:rsidRPr="00812A72">
          <w:rPr>
            <w:color w:val="000000"/>
            <w:sz w:val="28"/>
            <w:szCs w:val="28"/>
          </w:rPr>
          <w:t>ст. 28</w:t>
        </w:r>
      </w:hyperlink>
      <w:r w:rsidRPr="00812A72">
        <w:rPr>
          <w:color w:val="000000"/>
          <w:sz w:val="28"/>
          <w:szCs w:val="28"/>
        </w:rPr>
        <w:t xml:space="preserve">, </w:t>
      </w:r>
      <w:hyperlink r:id="rId10" w:tooltip="’’Уголовно-исполнительный кодекс Российской Федерации (с изменениями на 23 марта 2024 года)’’Кодекс РФ от 08.01.1997 N 1-ФЗСтатус: Действующая редакция документа (действ. c 20.09.2024)" w:history="1">
        <w:r w:rsidRPr="00812A72">
          <w:rPr>
            <w:color w:val="000000"/>
            <w:sz w:val="28"/>
            <w:szCs w:val="28"/>
          </w:rPr>
          <w:t>43 Уголовно-исполнительного кодекса Российской Федерации</w:t>
        </w:r>
      </w:hyperlink>
      <w:r w:rsidRPr="00812A72">
        <w:rPr>
          <w:color w:val="000000"/>
          <w:sz w:val="28"/>
          <w:szCs w:val="28"/>
        </w:rPr>
        <w:t xml:space="preserve">: 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812A72">
        <w:rPr>
          <w:color w:val="000000"/>
          <w:sz w:val="28"/>
          <w:szCs w:val="28"/>
        </w:rPr>
        <w:t xml:space="preserve">3.1. назначить ответственных сотрудников за взаимодействие с уголовно-исполнительными инспекциями по вопросам отбывания наказания в виде обязательных и исправительных работ; 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812A72">
        <w:rPr>
          <w:color w:val="000000"/>
          <w:sz w:val="28"/>
          <w:szCs w:val="28"/>
        </w:rPr>
        <w:t xml:space="preserve">3.2. обеспечить контроль за выполнением осужденными определенных для них работ; 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812A72">
        <w:rPr>
          <w:color w:val="000000"/>
          <w:sz w:val="28"/>
          <w:szCs w:val="28"/>
        </w:rPr>
        <w:t xml:space="preserve">3.3. уведомить инспекцию о количестве проработанных осужденными срока исправительных и обязательных работ, производстве удержаний из заработной платы, перечислении удержанных сумм в установленном законом порядке; 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812A72">
        <w:rPr>
          <w:color w:val="000000"/>
          <w:sz w:val="28"/>
          <w:szCs w:val="28"/>
        </w:rPr>
        <w:lastRenderedPageBreak/>
        <w:t xml:space="preserve">4. Рекомендовать инспекции оказывать правовую и иную помощь организациям и учреждениям, в которых лица отбывают наказания в виде обязательных и исправительных работ, а также обеспечить исполнение установленного порядка исполнения наказаний. 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t xml:space="preserve">5. </w:t>
      </w:r>
      <w:r w:rsidRPr="00812A72">
        <w:rPr>
          <w:sz w:val="28"/>
          <w:szCs w:val="28"/>
        </w:rPr>
        <w:fldChar w:fldCharType="begin"/>
      </w:r>
      <w:r w:rsidRPr="00812A72">
        <w:rPr>
          <w:sz w:val="28"/>
          <w:szCs w:val="28"/>
        </w:rPr>
        <w:instrText xml:space="preserve"> HYPERLINK "kodeks://link/d?nd=1306887237"\o"’’О внесении изменений в постановление Исполнительного комитета Верхнеуслонского муниципального района ...’’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Постановление Исполнительного комитета Верхнеуслонского муниципального района Республики Татарстан ...</w:instrTex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instrText>Статус: Недействующая редакция документ"</w:instrText>
      </w:r>
      <w:r w:rsidRPr="00812A72">
        <w:rPr>
          <w:sz w:val="28"/>
          <w:szCs w:val="28"/>
        </w:rPr>
      </w:r>
      <w:r w:rsidRPr="00812A72">
        <w:rPr>
          <w:sz w:val="28"/>
          <w:szCs w:val="28"/>
        </w:rPr>
        <w:fldChar w:fldCharType="separate"/>
      </w:r>
      <w:r w:rsidRPr="00812A72">
        <w:rPr>
          <w:sz w:val="28"/>
          <w:szCs w:val="28"/>
        </w:rPr>
        <w:t xml:space="preserve">Постановление Исполнительного комитета Мамадышского муниципального района Республики Татарстан от 24.02.2025 г. N 76 </w:t>
      </w:r>
      <w:r w:rsidRPr="00812A72">
        <w:rPr>
          <w:sz w:val="28"/>
          <w:szCs w:val="28"/>
        </w:rPr>
        <w:fldChar w:fldCharType="end"/>
      </w:r>
      <w:r w:rsidRPr="00812A72">
        <w:rPr>
          <w:sz w:val="28"/>
          <w:szCs w:val="28"/>
        </w:rPr>
        <w:t>«</w:t>
      </w:r>
      <w:r w:rsidRPr="00812A72">
        <w:rPr>
          <w:bCs/>
          <w:sz w:val="28"/>
          <w:szCs w:val="28"/>
        </w:rPr>
        <w:t xml:space="preserve">Об определении видов работ и перечня объектов, в которых отбывается уголовное наказание в виде обязательных и исправительных работ» </w:t>
      </w:r>
      <w:r w:rsidRPr="00812A72">
        <w:rPr>
          <w:sz w:val="28"/>
          <w:szCs w:val="28"/>
        </w:rPr>
        <w:t>признать утратившим силу.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t>6.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 в информационно-телекоммуникационной сети "Интернет".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12A72">
        <w:rPr>
          <w:sz w:val="28"/>
          <w:szCs w:val="28"/>
        </w:rPr>
        <w:t>7.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Ефимова А.М.</w:t>
      </w:r>
    </w:p>
    <w:p w:rsid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Pr="00812A72">
        <w:rPr>
          <w:sz w:val="28"/>
          <w:szCs w:val="28"/>
        </w:rPr>
        <w:t xml:space="preserve"> 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Р.М.</w:t>
      </w:r>
      <w:r w:rsidRPr="00812A72">
        <w:rPr>
          <w:sz w:val="28"/>
          <w:szCs w:val="28"/>
        </w:rPr>
        <w:t>Гарипов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12A72">
        <w:rPr>
          <w:sz w:val="28"/>
          <w:szCs w:val="28"/>
        </w:rPr>
        <w:lastRenderedPageBreak/>
        <w:t>Приложение N 1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0"/>
        <w:gridCol w:w="6323"/>
      </w:tblGrid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36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ind w:left="2751"/>
              <w:rPr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 xml:space="preserve">УТВЕРЖДЕНО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ind w:left="27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12A72">
              <w:rPr>
                <w:sz w:val="28"/>
                <w:szCs w:val="28"/>
              </w:rPr>
              <w:t xml:space="preserve">остановлением Исполнительного комитета Мамадышского муниципального района РТ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ind w:left="2751"/>
              <w:rPr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от "____"____2025 г. N ____</w:t>
            </w:r>
          </w:p>
        </w:tc>
      </w:tr>
    </w:tbl>
    <w:p w:rsidR="00812A72" w:rsidRPr="00812A72" w:rsidRDefault="00812A72" w:rsidP="00812A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812A72">
        <w:rPr>
          <w:b/>
          <w:bCs/>
          <w:sz w:val="28"/>
          <w:szCs w:val="28"/>
        </w:rPr>
        <w:t xml:space="preserve"> Перечень организаций и учреждений для отбывания наказаний осужденными к обязательным работам лицами, проживающими на территории Мамадышского муниципального района Республики Татарстан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W w:w="1017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9"/>
        <w:gridCol w:w="2767"/>
        <w:gridCol w:w="2961"/>
        <w:gridCol w:w="3803"/>
      </w:tblGrid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N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Адрес местонахождения организации, ИНН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Виды обязательных работ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Албаевского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РТ, Мамадышский район, с. Албай, ул.Центральная, д.18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1626009192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Верхнеошминского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д.Верх.Ошма, ул.Советская, д.54А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1626009259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Дюсьметьевского сельского поселения Мамадышского </w:t>
            </w:r>
            <w:r w:rsidRPr="00812A72">
              <w:rPr>
                <w:bCs/>
                <w:sz w:val="28"/>
                <w:szCs w:val="28"/>
              </w:rPr>
              <w:lastRenderedPageBreak/>
              <w:t xml:space="preserve">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 xml:space="preserve">РТ, Мамадышский район, д. Дюсьметьево, ул. Молодежная, 17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1626009040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Ишкеевского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с.Ишкеево, ул. Школьная, 18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1626009058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Катмышского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 Катмыш, ул.Р.Хазиева, 74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1626009227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неквалифицированные работы по благоустройству тротуаров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Кляушского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с.Пойкино, Советская, 16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1626009097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Кемеш-Кульского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с.Кемеш-Куль,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Ул.Центральная, 98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1626009202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</w:t>
            </w:r>
            <w:r w:rsidRPr="00812A72">
              <w:rPr>
                <w:bCs/>
                <w:sz w:val="28"/>
                <w:szCs w:val="28"/>
              </w:rPr>
              <w:lastRenderedPageBreak/>
              <w:t xml:space="preserve">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Красногорского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с-з Мамадышский, цл.Мира, д.11А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1626009142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Куюк-Ерыксинского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 Куюк-Ерыкса, ул. Гагарина, 29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ИНН1626009315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неквалифицированные работы по благоустройству тротуаров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Малокирменского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с.Малые Кирмени, ул.Закирова, 47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1626009026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Никифоровского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 Никифорово, ул.К.Маркса, 2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1626009107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неквалифицированные работы по благоустройству </w:t>
            </w:r>
            <w:r w:rsidRPr="00812A72">
              <w:rPr>
                <w:bCs/>
                <w:sz w:val="28"/>
                <w:szCs w:val="28"/>
              </w:rPr>
              <w:lastRenderedPageBreak/>
              <w:t xml:space="preserve">тротуаров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 xml:space="preserve">12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Нижнетаканышского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 НтжнийТаканыш, ул.Банковская. 17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1626009234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неквалифицированные работы по благоустройству тротуаров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Нижнесуньского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 Нижняя Сунь, ул.К.Маркса, 18А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1626009266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Нижнеошминского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д.Нижняя Ошма. Ул. Советская, 37А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1626009185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15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Нижнешандерского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с.Зюри, Школьная, 1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1626009160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16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</w:t>
            </w:r>
            <w:r w:rsidRPr="00812A72">
              <w:rPr>
                <w:bCs/>
                <w:sz w:val="28"/>
                <w:szCs w:val="28"/>
              </w:rPr>
              <w:lastRenderedPageBreak/>
              <w:t xml:space="preserve">комитет Олуязского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 xml:space="preserve">РТ, Мамадышский </w:t>
            </w:r>
            <w:r w:rsidRPr="00812A72">
              <w:rPr>
                <w:bCs/>
                <w:sz w:val="28"/>
                <w:szCs w:val="28"/>
              </w:rPr>
              <w:lastRenderedPageBreak/>
              <w:t>район, с.Олуяз, ул.Ш.Маннура, 72А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1626009033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 xml:space="preserve">- благоустройство лесного </w:t>
            </w:r>
            <w:r w:rsidRPr="00812A72">
              <w:rPr>
                <w:bCs/>
                <w:sz w:val="28"/>
                <w:szCs w:val="28"/>
              </w:rPr>
              <w:lastRenderedPageBreak/>
              <w:t xml:space="preserve">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 xml:space="preserve">17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Омарского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 Омара. Ул. Школьная. 18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1626009039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18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Отарского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 Отарка, ул. Октябрьская. 17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1626009080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19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Сокольского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с.Соколка, Школьная. 38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1626009065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Среднекирменское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 Средние Кирмени, ул.Ленина, 16А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1626008892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</w:t>
            </w:r>
            <w:r w:rsidRPr="00812A72">
              <w:rPr>
                <w:bCs/>
                <w:sz w:val="28"/>
                <w:szCs w:val="28"/>
              </w:rPr>
              <w:lastRenderedPageBreak/>
              <w:t xml:space="preserve">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Суньского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с.М.Сунь, ул.Яруллина, 7а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1626009210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Тавельского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 Тавели, ул.Нагорная, 70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1626009178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Уразбахтинского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 Уразбахтино, ул. Советская, д.1а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1626009001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Урманчеевского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п.Зверосовхоз, ул. Ленина, д.5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1626009072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Усалинского сельского поселения </w:t>
            </w:r>
            <w:r w:rsidRPr="00812A72">
              <w:rPr>
                <w:bCs/>
                <w:sz w:val="28"/>
                <w:szCs w:val="28"/>
              </w:rPr>
              <w:lastRenderedPageBreak/>
              <w:t xml:space="preserve">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>РТ, Мамадышский район, с. Усали, ул.Первомайская, д.4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 xml:space="preserve">ИНН 1626009308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</w:t>
            </w:r>
            <w:r w:rsidRPr="00812A72">
              <w:rPr>
                <w:bCs/>
                <w:sz w:val="28"/>
                <w:szCs w:val="28"/>
              </w:rPr>
              <w:lastRenderedPageBreak/>
              <w:t xml:space="preserve">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>26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Шадчинского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 Шадчи. Ул. Молодежная, 18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1626009280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Шемяковского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 Шемяково, ул.Г.Тукая, 63а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1626009153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Якинского сельского поселения Мамадышского муниципального района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Мамадышский район, с.Н.Яки, ул. Новая, 9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1626009298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лесного фонда;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населенных пунктов;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населенных пунктов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29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Исполнительный комитет г. Мамадыш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г.Мамадыш, ул.МДжалиля, д.23/33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1626008865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населенного пункта;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населенного пункта;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неквалифицированные работы по благоустройству </w:t>
            </w:r>
            <w:r w:rsidRPr="00812A72">
              <w:rPr>
                <w:bCs/>
                <w:sz w:val="28"/>
                <w:szCs w:val="28"/>
              </w:rPr>
              <w:lastRenderedPageBreak/>
              <w:t xml:space="preserve">тротуаров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>30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ООО «Мамадыш ЖКУ»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г.Мамадыш, ул.Давыдова, 154В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1626008569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населенного пункта;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населенного пункта;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неквалифицированные работы по благоустройству тротуаров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ООО УК "Мамадыш"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г.Мамадыш,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ул.Карла Маркса 18/23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1626010494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населенного пункта;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населенного пункта;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неквалифицированные работы по благоустройству тротуаров 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ООО «Городское хозяйство»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РТ, г.Мамадыш,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ул. Красноармейская, д. 22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ИНН </w:t>
            </w:r>
            <w:r w:rsidRPr="00812A72">
              <w:rPr>
                <w:color w:val="001D35"/>
                <w:sz w:val="28"/>
                <w:szCs w:val="28"/>
                <w:shd w:val="clear" w:color="auto" w:fill="FFFFFF"/>
              </w:rPr>
              <w:t>1675004415</w:t>
            </w:r>
            <w:r w:rsidRPr="00812A72">
              <w:rPr>
                <w:bCs/>
                <w:sz w:val="28"/>
                <w:szCs w:val="28"/>
              </w:rPr>
              <w:t xml:space="preserve">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благоустройство общественных мест населенного пункта;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ручной агротехнический уход за растительными культурами общественных мест населенного пункта;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 xml:space="preserve">- неквалифицированные работы по благоустройству тротуаров </w:t>
            </w:r>
          </w:p>
        </w:tc>
      </w:tr>
    </w:tbl>
    <w:p w:rsidR="00812A72" w:rsidRDefault="00812A72" w:rsidP="00812A7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12A72">
        <w:rPr>
          <w:sz w:val="28"/>
          <w:szCs w:val="28"/>
        </w:rPr>
        <w:t xml:space="preserve">Заместитель руководителя                             </w:t>
      </w:r>
      <w:r>
        <w:rPr>
          <w:sz w:val="28"/>
          <w:szCs w:val="28"/>
        </w:rPr>
        <w:t xml:space="preserve">                                          </w:t>
      </w:r>
      <w:r w:rsidRPr="00812A72">
        <w:rPr>
          <w:sz w:val="28"/>
          <w:szCs w:val="28"/>
        </w:rPr>
        <w:t xml:space="preserve">     А.М.Ефимов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12A72">
        <w:rPr>
          <w:sz w:val="28"/>
          <w:szCs w:val="28"/>
        </w:rPr>
        <w:t>Приложение N 2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0"/>
        <w:gridCol w:w="6323"/>
      </w:tblGrid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36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ind w:left="2751"/>
              <w:rPr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 xml:space="preserve">УТВЕРЖДЕНО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ind w:left="27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12A72">
              <w:rPr>
                <w:sz w:val="28"/>
                <w:szCs w:val="28"/>
              </w:rPr>
              <w:t xml:space="preserve">остановлением Исполнительного комитета Мамадышского муниципального района РТ </w:t>
            </w:r>
          </w:p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ind w:left="2751"/>
              <w:rPr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от "____"____2025 г. N ____</w:t>
            </w:r>
          </w:p>
        </w:tc>
      </w:tr>
    </w:tbl>
    <w:p w:rsidR="00812A72" w:rsidRPr="00812A72" w:rsidRDefault="00812A72" w:rsidP="00812A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812A72">
        <w:rPr>
          <w:b/>
          <w:bCs/>
          <w:sz w:val="28"/>
          <w:szCs w:val="28"/>
        </w:rPr>
        <w:t xml:space="preserve"> Перечень организаций и учреждений для отбывания наказаний осужденными к исправительным работам лицами, проживающими на территории Мамадышского муниципального района Республики Татарстан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7"/>
        <w:gridCol w:w="3064"/>
        <w:gridCol w:w="2671"/>
        <w:gridCol w:w="3627"/>
      </w:tblGrid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N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Вид наказания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"Мамадышский кирпичный завод"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1626424556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ЗАО «Мамадышстрой»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1626007149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"Транспорт" г.Мамадыш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1626006770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«Строймелиорация»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1626013400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"СтройСити" Мамадыш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1626010430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"Мамадышские стальные профили"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1626003270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Филиал АО "Татспиртпром" "Мамадышский спиртзавод"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1681000049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"Рыбзавод Мамадышский"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1655041271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 xml:space="preserve">ГКУ «Камское Лесничество»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1626010301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ГБУ "Мамадышский лесхоз"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1626001267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"Агрофирма Омара"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1626014146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"Мамадышский Промкомбинат"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1626010920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"Строй Чибис М"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1626007847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 xml:space="preserve">ООО </w:t>
            </w:r>
            <w:hyperlink r:id="rId11" w:tooltip="’’Арбитражный процессуальный кодекс Российской Федерации (с изменениями на 8 августа 2024 года)’’Кодекс РФ от 24.07.2002 N 95-ФЗСтатус: Действующая редакция документа (действ. c 19.08.2024)" w:history="1">
              <w:r w:rsidRPr="00812A72">
                <w:rPr>
                  <w:sz w:val="28"/>
                  <w:szCs w:val="28"/>
                </w:rPr>
                <w:t>АПК</w:t>
              </w:r>
            </w:hyperlink>
            <w:r w:rsidRPr="00812A72">
              <w:rPr>
                <w:sz w:val="28"/>
                <w:szCs w:val="28"/>
              </w:rPr>
              <w:t xml:space="preserve"> "Продовольственная Программа"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1626011106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Исправительный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Мамадышский РУЭС – ФЛ ПАО «Таттелеком»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1681000024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"Мамадышские тепловые сети"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1626009805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"Азбука сыра"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1660183627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"Мамадыш Газстрой"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1626007043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ООО «Технотекстиль»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1626013720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  <w:tr w:rsidR="00812A72" w:rsidRPr="00812A72" w:rsidTr="00812A72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20.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2A72">
              <w:rPr>
                <w:sz w:val="28"/>
                <w:szCs w:val="28"/>
              </w:rPr>
              <w:t>Отделение "Татэнергосбыт" г.Мамадыш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spacing w:after="160" w:line="259" w:lineRule="auto"/>
              <w:rPr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ИНН 1626008921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12A72" w:rsidRPr="00812A72" w:rsidRDefault="00812A72" w:rsidP="00812A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2A72">
              <w:rPr>
                <w:bCs/>
                <w:sz w:val="28"/>
                <w:szCs w:val="28"/>
              </w:rPr>
              <w:t>Исправительные работы</w:t>
            </w:r>
          </w:p>
        </w:tc>
      </w:tr>
    </w:tbl>
    <w:p w:rsidR="00812A72" w:rsidRDefault="00812A72" w:rsidP="00812A7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12A72" w:rsidRPr="00812A72" w:rsidRDefault="00812A72" w:rsidP="00812A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12A72">
        <w:rPr>
          <w:sz w:val="28"/>
          <w:szCs w:val="28"/>
        </w:rPr>
        <w:t xml:space="preserve">Заместитель руководителя                              </w:t>
      </w:r>
      <w:r>
        <w:rPr>
          <w:sz w:val="28"/>
          <w:szCs w:val="28"/>
        </w:rPr>
        <w:t xml:space="preserve">                                    </w:t>
      </w:r>
      <w:bookmarkStart w:id="0" w:name="_GoBack"/>
      <w:bookmarkEnd w:id="0"/>
      <w:r w:rsidRPr="00812A72">
        <w:rPr>
          <w:sz w:val="28"/>
          <w:szCs w:val="28"/>
        </w:rPr>
        <w:t xml:space="preserve">    А.М.Ефимов</w:t>
      </w:r>
    </w:p>
    <w:p w:rsidR="00812A72" w:rsidRPr="00812A72" w:rsidRDefault="00812A72" w:rsidP="00812A7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12A72" w:rsidRPr="00F64D59" w:rsidRDefault="00812A72" w:rsidP="00F64D59">
      <w:pPr>
        <w:shd w:val="clear" w:color="auto" w:fill="FFFFFF"/>
        <w:tabs>
          <w:tab w:val="left" w:pos="9780"/>
        </w:tabs>
        <w:spacing w:after="211" w:line="326" w:lineRule="exact"/>
        <w:ind w:right="-1"/>
        <w:jc w:val="both"/>
        <w:rPr>
          <w:rFonts w:ascii="Arial" w:hAnsi="Arial" w:cs="Arial"/>
        </w:rPr>
      </w:pPr>
    </w:p>
    <w:sectPr w:rsidR="00812A72" w:rsidRPr="00F64D59" w:rsidSect="00585EE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8E0" w:rsidRDefault="002478E0">
      <w:r>
        <w:separator/>
      </w:r>
    </w:p>
  </w:endnote>
  <w:endnote w:type="continuationSeparator" w:id="0">
    <w:p w:rsidR="002478E0" w:rsidRDefault="0024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8E0" w:rsidRDefault="002478E0">
      <w:r>
        <w:separator/>
      </w:r>
    </w:p>
  </w:footnote>
  <w:footnote w:type="continuationSeparator" w:id="0">
    <w:p w:rsidR="002478E0" w:rsidRDefault="00247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847C00"/>
    <w:multiLevelType w:val="hybridMultilevel"/>
    <w:tmpl w:val="9446A754"/>
    <w:numStyleLink w:val="7"/>
  </w:abstractNum>
  <w:abstractNum w:abstractNumId="9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44F6E9E"/>
    <w:multiLevelType w:val="hybridMultilevel"/>
    <w:tmpl w:val="7820FD30"/>
    <w:numStyleLink w:val="4"/>
  </w:abstractNum>
  <w:abstractNum w:abstractNumId="14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8CF7901"/>
    <w:multiLevelType w:val="hybridMultilevel"/>
    <w:tmpl w:val="CECC03B4"/>
    <w:numStyleLink w:val="20"/>
  </w:abstractNum>
  <w:num w:numId="1">
    <w:abstractNumId w:val="11"/>
  </w:num>
  <w:num w:numId="2">
    <w:abstractNumId w:val="4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14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1312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8E0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12A72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1D8E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213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35522&amp;point=mark=000000000000000000000000000000000000000000000000008PQ0M2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35522&amp;point=mark=000000000000000000000000000000000000000000000000008P20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0688E1-3B21-4704-9CED-2D1BADB8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2025-07-31T12:47:00Z</cp:lastPrinted>
  <dcterms:created xsi:type="dcterms:W3CDTF">2025-07-31T12:48:00Z</dcterms:created>
  <dcterms:modified xsi:type="dcterms:W3CDTF">2025-07-31T12:48:00Z</dcterms:modified>
</cp:coreProperties>
</file>