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1E" w:rsidRPr="0033111E" w:rsidRDefault="0033111E" w:rsidP="0033111E">
      <w:pPr>
        <w:spacing w:after="100" w:afterAutospacing="1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11E">
        <w:rPr>
          <w:rFonts w:ascii="Times New Roman" w:hAnsi="Times New Roman" w:cs="Times New Roman"/>
          <w:b/>
          <w:sz w:val="32"/>
          <w:szCs w:val="28"/>
        </w:rPr>
        <w:t>Основные новеллы в методических рекомендациях по вопросам представления сведений о доходах в 2025 году (за отчетный 2024 год)</w:t>
      </w:r>
    </w:p>
    <w:p w:rsidR="0033111E" w:rsidRPr="0033111E" w:rsidRDefault="0033111E" w:rsidP="00331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11E">
        <w:rPr>
          <w:rFonts w:ascii="Times New Roman" w:hAnsi="Times New Roman" w:cs="Times New Roman"/>
          <w:sz w:val="28"/>
          <w:szCs w:val="28"/>
        </w:rPr>
        <w:t>Министерством труда и социальной защиты Российской Федерации ежегодно обновляются Методические рекомендации по вопросам представления сведений о доходах, расходах, об имуществе и обязательствах имущественного характера. Обновленная редакция Методических рекомендаций размещена на официальном сайте Минтруда России.</w:t>
      </w:r>
    </w:p>
    <w:p w:rsidR="0033111E" w:rsidRPr="0033111E" w:rsidRDefault="0033111E" w:rsidP="00331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11E">
        <w:rPr>
          <w:rFonts w:ascii="Times New Roman" w:hAnsi="Times New Roman" w:cs="Times New Roman"/>
          <w:sz w:val="28"/>
          <w:szCs w:val="28"/>
        </w:rPr>
        <w:t>Методические рекомендации актуализированы с учетом изменений нормативных правовых актов Российской Федерации и подлежат применению в рамках декларационной кампании 2025 года (за отчетный 2024 год), а также при предоставлении сведений о доходах кандидатами, претендующими на замещение соответствующих должностей.</w:t>
      </w:r>
    </w:p>
    <w:p w:rsidR="0033111E" w:rsidRPr="0033111E" w:rsidRDefault="0033111E" w:rsidP="00331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11E">
        <w:rPr>
          <w:rFonts w:ascii="Times New Roman" w:hAnsi="Times New Roman" w:cs="Times New Roman"/>
          <w:sz w:val="28"/>
          <w:szCs w:val="28"/>
        </w:rPr>
        <w:t>Методические рекомендации дополнены следующими положениями, требующими особого внимания лиц, представляющих сведения о доходах, расходах, об имуществе и обязательствах имущественного характера:</w:t>
      </w:r>
    </w:p>
    <w:p w:rsidR="0033111E" w:rsidRPr="0033111E" w:rsidRDefault="0033111E" w:rsidP="00331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11E">
        <w:rPr>
          <w:rFonts w:ascii="Times New Roman" w:hAnsi="Times New Roman" w:cs="Times New Roman"/>
          <w:sz w:val="28"/>
          <w:szCs w:val="28"/>
        </w:rPr>
        <w:t>1) заявление о невозможности по объективным причинам представить сведения о доходах в отношении супруг (супругов) и (или) несовершеннолетних детей может быть подано служащим при предоставлении им сведений о доходах в случае назначения на должность, предусмотренную перечнем должностей, при замещении которых служащие обязаны представлять сведения о доходах, а также сведения о доходах своих супруги (супруга) и несовершеннолетних детей (при переводе с должности, не включенной в такой перечень);</w:t>
      </w:r>
    </w:p>
    <w:p w:rsidR="0033111E" w:rsidRPr="0033111E" w:rsidRDefault="0033111E" w:rsidP="00331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11E">
        <w:rPr>
          <w:rFonts w:ascii="Times New Roman" w:hAnsi="Times New Roman" w:cs="Times New Roman"/>
          <w:sz w:val="28"/>
          <w:szCs w:val="28"/>
        </w:rPr>
        <w:t>2) указаны наиболее востребованные документы, на основании которых рекомендуется заполнять справку о доходах, и источники информации, где такие документы могут быть получены (к примеру, справку о доходах и суммах налога физического лица можно получить через Личный кабинет налогоплательщика (официальный сайт </w:t>
      </w:r>
      <w:hyperlink r:id="rId4" w:tgtFrame="_blank" w:history="1">
        <w:r w:rsidRPr="0033111E">
          <w:rPr>
            <w:rStyle w:val="a3"/>
            <w:rFonts w:ascii="Times New Roman" w:hAnsi="Times New Roman" w:cs="Times New Roman"/>
            <w:sz w:val="28"/>
            <w:szCs w:val="28"/>
          </w:rPr>
          <w:t>https://lkfl2.nalog.ru/lkfl</w:t>
        </w:r>
      </w:hyperlink>
      <w:r w:rsidRPr="0033111E">
        <w:rPr>
          <w:rFonts w:ascii="Times New Roman" w:hAnsi="Times New Roman" w:cs="Times New Roman"/>
          <w:sz w:val="28"/>
          <w:szCs w:val="28"/>
        </w:rPr>
        <w:t>), справку о размере пенсии и иных социальных выплат (в том числе о пособии по временной нетрудоспособности) можно получить через Личный кабинет налогоплательщика (официальный сайт </w:t>
      </w:r>
      <w:hyperlink r:id="rId5" w:tgtFrame="_blank" w:history="1">
        <w:r w:rsidRPr="0033111E">
          <w:rPr>
            <w:rStyle w:val="a3"/>
            <w:rFonts w:ascii="Times New Roman" w:hAnsi="Times New Roman" w:cs="Times New Roman"/>
            <w:sz w:val="28"/>
            <w:szCs w:val="28"/>
          </w:rPr>
          <w:t>https://lkfl2.nalog.ru/lkfl</w:t>
        </w:r>
      </w:hyperlink>
      <w:r w:rsidRPr="0033111E">
        <w:rPr>
          <w:rFonts w:ascii="Times New Roman" w:hAnsi="Times New Roman" w:cs="Times New Roman"/>
          <w:sz w:val="28"/>
          <w:szCs w:val="28"/>
        </w:rPr>
        <w:t>) или посредством официального сайта Фонда пенсионного и социального страхования Российской Федерации (</w:t>
      </w:r>
      <w:hyperlink r:id="rId6" w:tgtFrame="_blank" w:history="1">
        <w:r w:rsidRPr="0033111E">
          <w:rPr>
            <w:rStyle w:val="a3"/>
            <w:rFonts w:ascii="Times New Roman" w:hAnsi="Times New Roman" w:cs="Times New Roman"/>
            <w:sz w:val="28"/>
            <w:szCs w:val="28"/>
          </w:rPr>
          <w:t>https://sfr.gov.ru/</w:t>
        </w:r>
      </w:hyperlink>
      <w:r w:rsidRPr="0033111E">
        <w:rPr>
          <w:rFonts w:ascii="Times New Roman" w:hAnsi="Times New Roman" w:cs="Times New Roman"/>
          <w:sz w:val="28"/>
          <w:szCs w:val="28"/>
        </w:rPr>
        <w:t> и так далее) (пункт 49 Методических рекомендаций);</w:t>
      </w:r>
    </w:p>
    <w:p w:rsidR="0033111E" w:rsidRPr="0033111E" w:rsidRDefault="0033111E" w:rsidP="00331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11E">
        <w:rPr>
          <w:rFonts w:ascii="Times New Roman" w:hAnsi="Times New Roman" w:cs="Times New Roman"/>
          <w:sz w:val="28"/>
          <w:szCs w:val="28"/>
        </w:rPr>
        <w:t>3) Минтруд России не является разработчиком специального программного обеспечения «Справки БК» (далее – СПО «Справки БК»), в связи с чем все вопросы, связанные с техническим обслуживанием и функционалом СПО «Справки БК» целесообразно направлять в адрес разработчика – Федеральной службы охраны Российской Федерации;</w:t>
      </w:r>
    </w:p>
    <w:p w:rsidR="0033111E" w:rsidRPr="0033111E" w:rsidRDefault="0033111E" w:rsidP="00331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11E">
        <w:rPr>
          <w:rFonts w:ascii="Times New Roman" w:hAnsi="Times New Roman" w:cs="Times New Roman"/>
          <w:sz w:val="28"/>
          <w:szCs w:val="28"/>
        </w:rPr>
        <w:lastRenderedPageBreak/>
        <w:t>4) законодательством Российской Федерации не предусмотрена возможность подписания справки о доходах иным лицом вместо служащего (работника), представляющего справку о доходах;</w:t>
      </w:r>
    </w:p>
    <w:p w:rsidR="0033111E" w:rsidRPr="0033111E" w:rsidRDefault="0033111E" w:rsidP="00331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11E">
        <w:rPr>
          <w:rFonts w:ascii="Times New Roman" w:hAnsi="Times New Roman" w:cs="Times New Roman"/>
          <w:sz w:val="28"/>
          <w:szCs w:val="28"/>
        </w:rPr>
        <w:t>5) при применении в ходе осуществления предпринимательской деятельности автоматизированной упрощенной системы налогообложения (</w:t>
      </w:r>
      <w:proofErr w:type="spellStart"/>
      <w:r w:rsidRPr="0033111E">
        <w:rPr>
          <w:rFonts w:ascii="Times New Roman" w:hAnsi="Times New Roman" w:cs="Times New Roman"/>
          <w:sz w:val="28"/>
          <w:szCs w:val="28"/>
        </w:rPr>
        <w:t>АвтоУСН</w:t>
      </w:r>
      <w:proofErr w:type="spellEnd"/>
      <w:r w:rsidRPr="0033111E">
        <w:rPr>
          <w:rFonts w:ascii="Times New Roman" w:hAnsi="Times New Roman" w:cs="Times New Roman"/>
          <w:sz w:val="28"/>
          <w:szCs w:val="28"/>
        </w:rPr>
        <w:t>) в качестве (дохода) указывается сумма полученных доходов (независимо от объекта налогообложения) за налоговые периоды отчетного года;</w:t>
      </w:r>
    </w:p>
    <w:p w:rsidR="0033111E" w:rsidRPr="0033111E" w:rsidRDefault="0033111E" w:rsidP="00331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11E">
        <w:rPr>
          <w:rFonts w:ascii="Times New Roman" w:hAnsi="Times New Roman" w:cs="Times New Roman"/>
          <w:sz w:val="28"/>
          <w:szCs w:val="28"/>
        </w:rPr>
        <w:t xml:space="preserve">6) в разделе 1 «Сведения о доходах» справки о доходах помимо иных товаров, услуг, полученных в натуральной форме, не подлежит отражению цифровая валюта, полученная в результате осуществления </w:t>
      </w:r>
      <w:proofErr w:type="spellStart"/>
      <w:r w:rsidRPr="0033111E">
        <w:rPr>
          <w:rFonts w:ascii="Times New Roman" w:hAnsi="Times New Roman" w:cs="Times New Roman"/>
          <w:sz w:val="28"/>
          <w:szCs w:val="28"/>
        </w:rPr>
        <w:t>майнинга</w:t>
      </w:r>
      <w:proofErr w:type="spellEnd"/>
      <w:r w:rsidRPr="0033111E">
        <w:rPr>
          <w:rFonts w:ascii="Times New Roman" w:hAnsi="Times New Roman" w:cs="Times New Roman"/>
          <w:sz w:val="28"/>
          <w:szCs w:val="28"/>
        </w:rPr>
        <w:t xml:space="preserve"> (законодательством Российской Федерации о налогах и сборах такая цифровая валюта отнесена к доходам, полученным в натуральной форме). Цифровая валюта, полученная в результате </w:t>
      </w:r>
      <w:proofErr w:type="spellStart"/>
      <w:r w:rsidRPr="0033111E">
        <w:rPr>
          <w:rFonts w:ascii="Times New Roman" w:hAnsi="Times New Roman" w:cs="Times New Roman"/>
          <w:sz w:val="28"/>
          <w:szCs w:val="28"/>
        </w:rPr>
        <w:t>майнинга</w:t>
      </w:r>
      <w:proofErr w:type="spellEnd"/>
      <w:r w:rsidRPr="0033111E">
        <w:rPr>
          <w:rFonts w:ascii="Times New Roman" w:hAnsi="Times New Roman" w:cs="Times New Roman"/>
          <w:sz w:val="28"/>
          <w:szCs w:val="28"/>
        </w:rPr>
        <w:t>, как и цифровая валюта, полученная по иным основаниям (например, куплена, получена в дар и так далее), при ее наличии в собственности подлежит указанию в подразделе 3.5 «Цифровая валюта») раздела 3 «Сведения об имуществе» справки о доходах;</w:t>
      </w:r>
    </w:p>
    <w:p w:rsidR="0033111E" w:rsidRPr="0033111E" w:rsidRDefault="0033111E" w:rsidP="00331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11E">
        <w:rPr>
          <w:rFonts w:ascii="Times New Roman" w:hAnsi="Times New Roman" w:cs="Times New Roman"/>
          <w:sz w:val="28"/>
          <w:szCs w:val="28"/>
        </w:rPr>
        <w:t xml:space="preserve">7) в разделе 1 «Сведения о доходах» справки о доходах не указываются (в том числе, в случае наличия сведений о таких денежных средствах в информации, полученной в рамках Указанием Банка России от 27 мая 2021 года № 5798-У «О порядке предоставления кредитными организациями и </w:t>
      </w:r>
      <w:proofErr w:type="spellStart"/>
      <w:r w:rsidRPr="0033111E">
        <w:rPr>
          <w:rFonts w:ascii="Times New Roman" w:hAnsi="Times New Roman" w:cs="Times New Roman"/>
          <w:sz w:val="28"/>
          <w:szCs w:val="28"/>
        </w:rPr>
        <w:t>некредитными</w:t>
      </w:r>
      <w:proofErr w:type="spellEnd"/>
      <w:r w:rsidRPr="0033111E">
        <w:rPr>
          <w:rFonts w:ascii="Times New Roman" w:hAnsi="Times New Roman" w:cs="Times New Roman"/>
          <w:sz w:val="28"/>
          <w:szCs w:val="28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 по единой форме предоставления сведений и порядке ее заполнения» (далее - Указание № 5798-У));</w:t>
      </w:r>
    </w:p>
    <w:p w:rsidR="0033111E" w:rsidRPr="0033111E" w:rsidRDefault="0033111E" w:rsidP="00331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11E">
        <w:rPr>
          <w:rFonts w:ascii="Times New Roman" w:hAnsi="Times New Roman" w:cs="Times New Roman"/>
          <w:sz w:val="28"/>
          <w:szCs w:val="28"/>
        </w:rPr>
        <w:t>8) помимо граждан, поступающих на службу (работу), раздел 2 «Сведения о расходах» справки о доходах не подлежит заполнению:</w:t>
      </w:r>
    </w:p>
    <w:p w:rsidR="0033111E" w:rsidRPr="0033111E" w:rsidRDefault="0033111E" w:rsidP="00331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111E">
        <w:rPr>
          <w:rFonts w:ascii="Times New Roman" w:hAnsi="Times New Roman" w:cs="Times New Roman"/>
          <w:sz w:val="28"/>
          <w:szCs w:val="28"/>
        </w:rPr>
        <w:t>служащими, замещающими должности, не предусмотренные перечнем, при предоставлении ими сведений о доходах в случае назначения на должность, предусмотренную перечнем.</w:t>
      </w:r>
    </w:p>
    <w:p w:rsidR="0033111E" w:rsidRPr="0033111E" w:rsidRDefault="0033111E" w:rsidP="00331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11E">
        <w:rPr>
          <w:rFonts w:ascii="Times New Roman" w:hAnsi="Times New Roman" w:cs="Times New Roman"/>
          <w:sz w:val="28"/>
          <w:szCs w:val="28"/>
        </w:rPr>
        <w:t>9) сведения об источнике средств, за счет которых приобретено недвижимое имущество, находящееся в пределах территории Российской Федерации, в подразделе 3.1 «Недвижимое имущество» раздела 3 «Сведения об имуществе» справки о доходах не указываются (достаточно отразить реквизиты свидетельства о государственной регистрации права на недвижимое имущество или номер и дату государственной регистрации права, а также наименование и реквизиты документа, являющегося основанием для приобретения права собственности на недвижимое имущество);</w:t>
      </w:r>
    </w:p>
    <w:p w:rsidR="0033111E" w:rsidRPr="0033111E" w:rsidRDefault="0033111E" w:rsidP="00331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11E">
        <w:rPr>
          <w:rFonts w:ascii="Times New Roman" w:hAnsi="Times New Roman" w:cs="Times New Roman"/>
          <w:sz w:val="28"/>
          <w:szCs w:val="28"/>
        </w:rPr>
        <w:t xml:space="preserve">10) вид, марка, модель транспортного средства, год изготовления заполняются согласно официальным документам (например, согласно </w:t>
      </w:r>
      <w:r w:rsidRPr="0033111E">
        <w:rPr>
          <w:rFonts w:ascii="Times New Roman" w:hAnsi="Times New Roman" w:cs="Times New Roman"/>
          <w:sz w:val="28"/>
          <w:szCs w:val="28"/>
        </w:rPr>
        <w:lastRenderedPageBreak/>
        <w:t>паспорту транспортного средства или свидетельству о регистрации транспортного средства);</w:t>
      </w:r>
    </w:p>
    <w:p w:rsidR="0033111E" w:rsidRPr="0033111E" w:rsidRDefault="0033111E" w:rsidP="00331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11E">
        <w:rPr>
          <w:rFonts w:ascii="Times New Roman" w:hAnsi="Times New Roman" w:cs="Times New Roman"/>
          <w:sz w:val="28"/>
          <w:szCs w:val="28"/>
        </w:rPr>
        <w:t>11) в целях оценки необходимости заполнения графы б «Сумма поступивших на счет денежных средств (руб.)» раздела 4 «Сведения о счетах в банках и иных кредитных организациях» справки о доходах при расчете общего дохода служащего (работника), его супруги (супруга) и несовершеннолетних детей за отчетный период и два предшествующих ему года, доходы супруги (супруга) служащего (работника) учитываются только в случае, если они состояли в браке на отчетную дату и в течение двух и более лет, предшествующих отчетному периоду (аналогично в отношении супруги (супруга). Во всех остальных случаях учитывается только доход служащего (работника) за отчетный период и два предшествующих ему года (аналогично в отношении супруги (супруга);</w:t>
      </w:r>
    </w:p>
    <w:p w:rsidR="0033111E" w:rsidRPr="0033111E" w:rsidRDefault="0033111E" w:rsidP="00331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11E">
        <w:rPr>
          <w:rFonts w:ascii="Times New Roman" w:hAnsi="Times New Roman" w:cs="Times New Roman"/>
          <w:sz w:val="28"/>
          <w:szCs w:val="28"/>
        </w:rPr>
        <w:t>12) в разделе 4 «Сведения о счетах в банках и иных кредитных организациях» справки о доходах не подлежат отражению сведения о заключении договора долгосрочных сбережений в соответствии с Федеральным законом от 7 мая 1998 года № 75-ФЗ «О негосударственных пенсионных фондах»;</w:t>
      </w:r>
    </w:p>
    <w:p w:rsidR="0033111E" w:rsidRPr="0033111E" w:rsidRDefault="0033111E" w:rsidP="00331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11E">
        <w:rPr>
          <w:rFonts w:ascii="Times New Roman" w:hAnsi="Times New Roman" w:cs="Times New Roman"/>
          <w:sz w:val="28"/>
          <w:szCs w:val="28"/>
        </w:rPr>
        <w:t>13) в информации, представляемой Федеральной налоговой службой Российской Федерации, могут указываться электронные средства платежа (ЭСП), но это не требует их отражения в разделе 4 «Сведения о счетах в банках и иных кредитных организациях» справки о доходах;</w:t>
      </w:r>
    </w:p>
    <w:p w:rsidR="0033111E" w:rsidRPr="0033111E" w:rsidRDefault="0033111E" w:rsidP="00331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11E">
        <w:rPr>
          <w:rFonts w:ascii="Times New Roman" w:hAnsi="Times New Roman" w:cs="Times New Roman"/>
          <w:sz w:val="28"/>
          <w:szCs w:val="28"/>
        </w:rPr>
        <w:t>14) в случае реорганизации кредитной организации в форме слияния, присоединения или преобразования следует обращаться в банк или кредитную организацию, созданную по результатам реорганизации, в рамках Указания № 5798-У;</w:t>
      </w:r>
    </w:p>
    <w:p w:rsidR="0033111E" w:rsidRPr="0033111E" w:rsidRDefault="0033111E" w:rsidP="00331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11E">
        <w:rPr>
          <w:rFonts w:ascii="Times New Roman" w:hAnsi="Times New Roman" w:cs="Times New Roman"/>
          <w:sz w:val="28"/>
          <w:szCs w:val="28"/>
        </w:rPr>
        <w:t>15) к обязательствам в соответствии с Законом Российской Федерации от 27 ноября 1992 года № 4015-1 «Об организации страхового дела в Российской Федерации» не относится и не подлежит отражению в подразделе 6.2 «Срочные обязательства финансового характера» раздела б «Сведения об обязательствах имущественного характера» справки о доходах договор негосударственного пенсионного обеспечения, заключенный с негосударственным пенсионным фондом.</w:t>
      </w:r>
    </w:p>
    <w:p w:rsidR="0033111E" w:rsidRPr="0033111E" w:rsidRDefault="0033111E" w:rsidP="003311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3111E">
        <w:rPr>
          <w:rFonts w:ascii="Times New Roman" w:hAnsi="Times New Roman" w:cs="Times New Roman"/>
          <w:sz w:val="28"/>
          <w:szCs w:val="28"/>
        </w:rPr>
        <w:t>Управление по антикоррупционной, кадровой и организационной работе министерства напоминает о необходимости представления сведений о доходах в установленный законом срок.</w:t>
      </w:r>
    </w:p>
    <w:p w:rsidR="005C02D8" w:rsidRPr="0033111E" w:rsidRDefault="005C02D8" w:rsidP="003311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C02D8" w:rsidRPr="00331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1E"/>
    <w:rsid w:val="0033111E"/>
    <w:rsid w:val="005C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6144"/>
  <w15:chartTrackingRefBased/>
  <w15:docId w15:val="{38063F47-CA76-44E9-810D-7C703FBB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11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fr.gov.ru/" TargetMode="External"/><Relationship Id="rId5" Type="http://schemas.openxmlformats.org/officeDocument/2006/relationships/hyperlink" Target="https://lkfl2.nalog.ru/lkfl" TargetMode="External"/><Relationship Id="rId4" Type="http://schemas.openxmlformats.org/officeDocument/2006/relationships/hyperlink" Target="https://lkfl2.nalog.ru/lk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2025-03-10T08:31:00Z</dcterms:created>
  <dcterms:modified xsi:type="dcterms:W3CDTF">2025-03-10T08:34:00Z</dcterms:modified>
</cp:coreProperties>
</file>