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A57F8" w:rsidP="00107FC2">
            <w:pPr>
              <w:rPr>
                <w:sz w:val="28"/>
              </w:rPr>
            </w:pPr>
            <w:r>
              <w:rPr>
                <w:sz w:val="28"/>
              </w:rPr>
              <w:t>№ 247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A57F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  08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35936" w:rsidRDefault="00035936" w:rsidP="00035936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данных, необходимых для расчета подпоказателя «Доступность дошкольного образования для детей в возрасте от 2 месяцев до 8 лет», входящего в состав показателя «Уровень образования», декомпозированного на муниципальный уровень, за отчетный период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035936" w:rsidRDefault="00035936" w:rsidP="00035936">
      <w:pPr>
        <w:keepNext/>
        <w:shd w:val="clear" w:color="auto" w:fill="FFFFFF"/>
        <w:suppressAutoHyphens/>
        <w:autoSpaceDN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>
        <w:rPr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 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 </w:t>
      </w:r>
      <w:r>
        <w:rPr>
          <w:sz w:val="28"/>
          <w:szCs w:val="28"/>
        </w:rPr>
        <w:t>о с т а н о в л я е т:</w:t>
      </w:r>
    </w:p>
    <w:p w:rsidR="00035936" w:rsidRDefault="00035936" w:rsidP="00035936">
      <w:pPr>
        <w:jc w:val="both"/>
        <w:rPr>
          <w:rFonts w:eastAsiaTheme="minorHAnsi"/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      1.Утвердить прилагаемый регламент деятельности органа местного самоуправления Мамадышского муниципального района по механизму сбора и мониторинга данных, необходимых для расчета подпоказателя «Доступность дошкольного образования для детей в возрасте от 2 месяцев до 8 лет», входящего в состав показателя «Уровень образования», декомпозированного на муниципальный уровень, за отчетный период.</w:t>
      </w:r>
    </w:p>
    <w:p w:rsidR="00035936" w:rsidRDefault="00035936" w:rsidP="00035936">
      <w:pPr>
        <w:jc w:val="both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 xml:space="preserve">        2.Сектору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www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mamadysh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tatarstan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ru</w:t>
        </w:r>
      </w:hyperlink>
      <w:r>
        <w:rPr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035936" w:rsidRDefault="00035936" w:rsidP="00035936">
      <w:pPr>
        <w:jc w:val="both"/>
        <w:rPr>
          <w:sz w:val="28"/>
          <w:szCs w:val="28"/>
        </w:rPr>
      </w:pPr>
      <w:r>
        <w:rPr>
          <w:sz w:val="28"/>
          <w:szCs w:val="28"/>
          <w:lang w:eastAsia="zh-CN" w:bidi="hi-IN"/>
        </w:rPr>
        <w:t xml:space="preserve">       3. </w:t>
      </w:r>
      <w:r>
        <w:rPr>
          <w:sz w:val="28"/>
          <w:szCs w:val="28"/>
        </w:rPr>
        <w:t>Контроль за исполнением настоящего постановления возложить на  заместителя руководителя Исполнительного комитета Мамадышского муниципального района  Хузязянова М.Р.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035936" w:rsidRDefault="00035936" w:rsidP="00035936">
      <w:pPr>
        <w:keepNext/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035936" w:rsidRDefault="008A57F8" w:rsidP="00035936">
      <w:pPr>
        <w:rPr>
          <w:rFonts w:eastAsia="SimSun"/>
          <w:kern w:val="3"/>
          <w:sz w:val="28"/>
          <w:szCs w:val="28"/>
          <w:lang w:eastAsia="zh-CN" w:bidi="hi-IN"/>
        </w:rPr>
        <w:sectPr w:rsidR="00035936" w:rsidSect="00035936">
          <w:pgSz w:w="11906" w:h="16838"/>
          <w:pgMar w:top="851" w:right="566" w:bottom="142" w:left="1276" w:header="708" w:footer="708" w:gutter="0"/>
          <w:cols w:space="720"/>
        </w:sect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Руководитель                                                                                            О.Н.Павлов                                                     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Исполнительного комитета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Мамадышского муниципального района  Республики Татарстан</w:t>
      </w:r>
    </w:p>
    <w:p w:rsidR="00035936" w:rsidRDefault="008A57F8" w:rsidP="00035936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от _16.08.2022___</w:t>
      </w:r>
      <w:r w:rsidR="00035936">
        <w:rPr>
          <w:rFonts w:eastAsia="SimSun"/>
          <w:kern w:val="3"/>
          <w:sz w:val="24"/>
          <w:szCs w:val="24"/>
          <w:lang w:eastAsia="zh-CN" w:bidi="hi-IN"/>
        </w:rPr>
        <w:t>№ __</w:t>
      </w:r>
      <w:r>
        <w:rPr>
          <w:rFonts w:eastAsia="SimSun"/>
          <w:kern w:val="3"/>
          <w:sz w:val="24"/>
          <w:szCs w:val="24"/>
          <w:lang w:eastAsia="zh-CN" w:bidi="hi-IN"/>
        </w:rPr>
        <w:t>247</w:t>
      </w:r>
      <w:bookmarkStart w:id="0" w:name="_GoBack"/>
      <w:bookmarkEnd w:id="0"/>
      <w:r w:rsidR="00035936">
        <w:rPr>
          <w:rFonts w:eastAsia="SimSun"/>
          <w:kern w:val="3"/>
          <w:sz w:val="24"/>
          <w:szCs w:val="24"/>
          <w:lang w:eastAsia="zh-CN" w:bidi="hi-IN"/>
        </w:rPr>
        <w:t>___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left="4820" w:firstLine="709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035936" w:rsidRDefault="00035936" w:rsidP="0003593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35936" w:rsidRDefault="00035936" w:rsidP="00035936">
      <w:pPr>
        <w:rPr>
          <w:rFonts w:ascii="Calibri" w:eastAsia="Calibri" w:hAnsi="Calibri"/>
          <w:sz w:val="22"/>
          <w:szCs w:val="22"/>
        </w:rPr>
      </w:pPr>
    </w:p>
    <w:p w:rsidR="00035936" w:rsidRDefault="00035936" w:rsidP="00035936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Регламент</w:t>
      </w:r>
    </w:p>
    <w:p w:rsidR="00035936" w:rsidRDefault="00035936" w:rsidP="00035936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деятельности органа местного самоуправления Мамадышского муниципального района по механизму сбора и мониторинга </w:t>
      </w:r>
      <w:r>
        <w:rPr>
          <w:rFonts w:eastAsia="Calibri"/>
          <w:b/>
          <w:sz w:val="28"/>
          <w:szCs w:val="28"/>
        </w:rPr>
        <w:t xml:space="preserve">данных, необходимых для расчета подпоказателя «Доступность дошкольного образования для детей в возрасте от 2 месяцев до 8 лет», входящего в состав показателя «Уровень образования», 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>декомпозированного на муниципальный уровень, за отчетный период</w:t>
      </w:r>
    </w:p>
    <w:p w:rsidR="00035936" w:rsidRDefault="00035936" w:rsidP="00035936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035936" w:rsidRDefault="00035936" w:rsidP="00035936">
      <w:pPr>
        <w:keepNext/>
        <w:numPr>
          <w:ilvl w:val="0"/>
          <w:numId w:val="24"/>
        </w:numPr>
        <w:shd w:val="clear" w:color="auto" w:fill="FFFFFF"/>
        <w:suppressAutoHyphens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Общие положения</w:t>
      </w:r>
    </w:p>
    <w:p w:rsidR="00035936" w:rsidRDefault="00035936" w:rsidP="00035936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035936" w:rsidRDefault="00035936" w:rsidP="00035936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035936" w:rsidRDefault="00035936" w:rsidP="0003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 муниципального района по механизму сбора и мониторинга </w:t>
      </w:r>
      <w:r>
        <w:rPr>
          <w:rFonts w:eastAsia="Calibri"/>
          <w:sz w:val="28"/>
          <w:szCs w:val="28"/>
        </w:rPr>
        <w:t>данных, необходимых для расчета подпоказателя «Доступность дошкольного образования для детей в возрасте от 2 месяцев до 8 лет», входящего в состав показателя «Уровень образования»,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декомпозированного на муниципальный уровень, за отчетный период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>
        <w:rPr>
          <w:rFonts w:eastAsia="Calibri"/>
          <w:sz w:val="28"/>
          <w:szCs w:val="28"/>
        </w:rPr>
        <w:t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 данных, необходимых для расчета подпоказателя «Доступность дошкольного образования для детей в возрасте от 2 месяцев до 8 лет», входящего в состав показателя «Уровень образования», декомпозированного на муниципальный уровень, за отчетный период (далее – декомпозированный показатель):</w:t>
      </w:r>
    </w:p>
    <w:p w:rsidR="00035936" w:rsidRDefault="00035936" w:rsidP="000359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численность детей в возрасте от 2 месяцев до 8 лет, получающих образовательные услуги по дошкольному образованию;</w:t>
      </w:r>
    </w:p>
    <w:p w:rsidR="00035936" w:rsidRDefault="00035936" w:rsidP="000359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организациях.</w:t>
      </w:r>
    </w:p>
    <w:p w:rsidR="00035936" w:rsidRDefault="00035936" w:rsidP="000359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Центром ответственности за сбор и мониторинг декомпозированных показателей в Мамадышском муниципальном районе является МКУ «Отдел  образования» исполнительного комитета Мамадышского муниципального района (далее – отдел образования).</w:t>
      </w:r>
    </w:p>
    <w:p w:rsidR="00035936" w:rsidRDefault="00035936" w:rsidP="00035936">
      <w:pPr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1.2. </w:t>
      </w:r>
      <w:r>
        <w:rPr>
          <w:rFonts w:eastAsia="SimSu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035936" w:rsidRDefault="00035936" w:rsidP="000359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настоящего регламента используются термины, определенные в методике расчета </w:t>
      </w:r>
      <w:r>
        <w:rPr>
          <w:rFonts w:eastAsia="Calibri"/>
          <w:sz w:val="28"/>
          <w:szCs w:val="28"/>
        </w:rPr>
        <w:t>подпоказателя «Доступность дошкольного образования для детей в возрасте от 2 месяцев до 8 лет», входящего в состав показателя «Уровень образования»,</w:t>
      </w:r>
      <w:r>
        <w:rPr>
          <w:sz w:val="28"/>
          <w:szCs w:val="28"/>
        </w:rPr>
        <w:t xml:space="preserve"> 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035936" w:rsidRDefault="00035936" w:rsidP="00035936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bidi="hi-IN"/>
        </w:rPr>
      </w:pPr>
    </w:p>
    <w:p w:rsidR="00035936" w:rsidRDefault="00035936" w:rsidP="00035936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Стандарт расчета, порядок сбора, </w:t>
      </w:r>
    </w:p>
    <w:p w:rsidR="00035936" w:rsidRDefault="00035936" w:rsidP="00035936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и предоставления данных</w:t>
      </w:r>
    </w:p>
    <w:p w:rsidR="00035936" w:rsidRDefault="00035936" w:rsidP="00035936">
      <w:pPr>
        <w:suppressAutoHyphens/>
        <w:autoSpaceDN w:val="0"/>
        <w:ind w:firstLine="567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035936" w:rsidRDefault="00035936" w:rsidP="000359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декомпозированного подпоказателя используются следующие </w:t>
      </w:r>
      <w:r>
        <w:rPr>
          <w:rFonts w:eastAsia="Calibri"/>
          <w:sz w:val="28"/>
          <w:szCs w:val="28"/>
        </w:rPr>
        <w:t>данные</w:t>
      </w:r>
      <w:r>
        <w:rPr>
          <w:sz w:val="28"/>
          <w:szCs w:val="28"/>
        </w:rPr>
        <w:t>:</w:t>
      </w:r>
    </w:p>
    <w:p w:rsidR="00035936" w:rsidRDefault="00035936" w:rsidP="00035936">
      <w:pPr>
        <w:widowControl w:val="0"/>
        <w:autoSpaceDE w:val="0"/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t>численность детей в возрасте от 2 месяцев до 8 лет, получающих образовательные услуги по дошкольному образованию;</w:t>
      </w:r>
    </w:p>
    <w:p w:rsidR="00035936" w:rsidRDefault="00035936" w:rsidP="00035936">
      <w:pPr>
        <w:widowControl w:val="0"/>
        <w:autoSpaceDE w:val="0"/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организациях.</w:t>
      </w:r>
    </w:p>
    <w:p w:rsidR="00035936" w:rsidRDefault="00035936" w:rsidP="000359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Ответственный сотрудник отдела образования осуществляет сбор вышеуказанных данных за отчетный период от </w:t>
      </w:r>
      <w:r>
        <w:rPr>
          <w:rFonts w:eastAsia="SimSun"/>
          <w:kern w:val="3"/>
          <w:sz w:val="28"/>
          <w:szCs w:val="28"/>
          <w:lang w:eastAsia="zh-CN" w:bidi="hi-IN"/>
        </w:rPr>
        <w:t>организаций, предоставляющих услуги по п</w:t>
      </w:r>
      <w:r>
        <w:rPr>
          <w:rFonts w:eastAsia="SimSun"/>
          <w:iCs/>
          <w:kern w:val="3"/>
          <w:sz w:val="28"/>
          <w:szCs w:val="28"/>
          <w:lang w:eastAsia="zh-CN" w:bidi="hi-IN"/>
        </w:rPr>
        <w:t>остановке на учет и направлению детей в муниципальные образовательные организации, реализующие образовательные программы дошкольного образования</w:t>
      </w:r>
      <w:r>
        <w:rPr>
          <w:kern w:val="3"/>
          <w:sz w:val="28"/>
          <w:szCs w:val="28"/>
          <w:lang w:bidi="hi-IN"/>
        </w:rPr>
        <w:t>.</w:t>
      </w:r>
    </w:p>
    <w:p w:rsidR="00035936" w:rsidRDefault="00035936" w:rsidP="00035936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Сводная информация по муниципальному району (городскому округу) предоставляется в адрес Министерства образования и науки Республики Татарстан официальным письмом в единой межведомственной системе электронного документооборота Республики Татарстан. </w:t>
      </w:r>
    </w:p>
    <w:p w:rsidR="00035936" w:rsidRDefault="00035936" w:rsidP="00035936">
      <w:pPr>
        <w:rPr>
          <w:kern w:val="3"/>
          <w:sz w:val="28"/>
          <w:szCs w:val="28"/>
          <w:lang w:bidi="hi-IN"/>
        </w:rPr>
        <w:sectPr w:rsidR="00035936">
          <w:pgSz w:w="11906" w:h="16838"/>
          <w:pgMar w:top="1134" w:right="567" w:bottom="426" w:left="1134" w:header="709" w:footer="709" w:gutter="0"/>
          <w:cols w:space="720"/>
        </w:sectPr>
      </w:pPr>
    </w:p>
    <w:p w:rsidR="00035936" w:rsidRDefault="00035936" w:rsidP="00035936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t>Состав, срок и форма предоставления данных</w:t>
      </w:r>
    </w:p>
    <w:p w:rsidR="00035936" w:rsidRDefault="00035936" w:rsidP="00035936">
      <w:pPr>
        <w:suppressAutoHyphens/>
        <w:autoSpaceDN w:val="0"/>
        <w:ind w:left="142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035936" w:rsidRDefault="00035936" w:rsidP="00035936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-426" w:right="-284"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Форма предоставления данных организациями, предоставляющими услуги по п</w:t>
      </w:r>
      <w:r>
        <w:rPr>
          <w:rFonts w:eastAsia="SimSun"/>
          <w:iCs/>
          <w:kern w:val="3"/>
          <w:sz w:val="28"/>
          <w:szCs w:val="28"/>
          <w:lang w:eastAsia="zh-CN" w:bidi="hi-IN"/>
        </w:rPr>
        <w:t>остановке на учет и направлению детей в муниципальные образовательные организации, реализующие образовательные программы дошкольного образования,</w:t>
      </w:r>
      <w:r>
        <w:rPr>
          <w:rFonts w:eastAsia="SimSun"/>
          <w:i/>
          <w:iCs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>представлена в Таблице.</w:t>
      </w: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035936" w:rsidRDefault="00035936" w:rsidP="00035936">
      <w:pPr>
        <w:rPr>
          <w:sz w:val="28"/>
          <w:szCs w:val="28"/>
        </w:rPr>
        <w:sectPr w:rsidR="00035936">
          <w:pgSz w:w="11906" w:h="16838"/>
          <w:pgMar w:top="1134" w:right="850" w:bottom="1134" w:left="1701" w:header="708" w:footer="708" w:gutter="0"/>
          <w:cols w:space="720"/>
        </w:sect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</w:p>
    <w:p w:rsidR="00035936" w:rsidRDefault="00035936" w:rsidP="00035936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035936" w:rsidRDefault="00035936" w:rsidP="00035936">
      <w:pPr>
        <w:widowControl w:val="0"/>
        <w:autoSpaceDE w:val="0"/>
        <w:autoSpaceDN w:val="0"/>
        <w:ind w:firstLine="540"/>
        <w:jc w:val="center"/>
        <w:rPr>
          <w:sz w:val="22"/>
        </w:rPr>
      </w:pP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Численность детей в возрасте от 2 месяцев до 8 лет, получающих образовательные услуги по дошкольному образованию</w:t>
      </w:r>
    </w:p>
    <w:tbl>
      <w:tblPr>
        <w:tblStyle w:val="40"/>
        <w:tblW w:w="155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3972"/>
        <w:gridCol w:w="1274"/>
        <w:gridCol w:w="2267"/>
        <w:gridCol w:w="4251"/>
        <w:gridCol w:w="3117"/>
      </w:tblGrid>
      <w:tr w:rsidR="00035936" w:rsidTr="00035936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по постановке  на учет и направлению детей в муниципальные образовательные организации, реализующие образовательные программы дошкольного образования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информации ежеквартально до 1 числа месяца, следующего </w:t>
            </w:r>
          </w:p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детей в возрасте от 2 месяцев до 8 лет, получающих образовательные услуги по дошкольному образованию</w:t>
            </w:r>
          </w:p>
        </w:tc>
      </w:tr>
      <w:tr w:rsidR="00035936" w:rsidTr="0003593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035936" w:rsidRDefault="00035936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36" w:rsidRDefault="000359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5936" w:rsidTr="0003593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035936" w:rsidRDefault="00035936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36" w:rsidRDefault="000359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36" w:rsidRDefault="000359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5936" w:rsidRDefault="00035936" w:rsidP="00035936">
      <w:pPr>
        <w:sectPr w:rsidR="00035936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B01F8F" w:rsidRPr="00B01F8F" w:rsidRDefault="00B01F8F" w:rsidP="00035936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E49" w:rsidRDefault="00216E49">
      <w:r>
        <w:separator/>
      </w:r>
    </w:p>
  </w:endnote>
  <w:endnote w:type="continuationSeparator" w:id="0">
    <w:p w:rsidR="00216E49" w:rsidRDefault="0021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E49" w:rsidRDefault="00216E49">
      <w:r>
        <w:separator/>
      </w:r>
    </w:p>
  </w:footnote>
  <w:footnote w:type="continuationSeparator" w:id="0">
    <w:p w:rsidR="00216E49" w:rsidRDefault="0021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35936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6E49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A57F8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750C6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C811F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3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table" w:customStyle="1" w:styleId="40">
    <w:name w:val="Сетка таблицы4"/>
    <w:basedOn w:val="a1"/>
    <w:uiPriority w:val="39"/>
    <w:rsid w:val="00035936"/>
    <w:rPr>
      <w:rFonts w:asciiTheme="minorHAnsi" w:eastAsia="SimSun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DD899A-D011-4D6B-B559-49C16E5B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2022-08-04T12:35:00Z</dcterms:created>
  <dcterms:modified xsi:type="dcterms:W3CDTF">2022-08-23T15:44:00Z</dcterms:modified>
</cp:coreProperties>
</file>