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5578CE" w:rsidRDefault="005578CE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 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578C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03        </w:t>
            </w:r>
            <w:r w:rsidR="00AE3342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E3342" w:rsidRDefault="00AE3342" w:rsidP="00AE334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    изменений   в   постановление</w:t>
      </w:r>
    </w:p>
    <w:p w:rsidR="00AE3342" w:rsidRDefault="00AE3342" w:rsidP="00AE334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комитета   Мамадышского</w:t>
      </w:r>
    </w:p>
    <w:p w:rsidR="00AE3342" w:rsidRDefault="00AE3342" w:rsidP="00AE33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№ 226 от 07.07.2021 г.  </w:t>
      </w:r>
      <w:bookmarkStart w:id="0" w:name="_GoBack"/>
      <w:bookmarkEnd w:id="0"/>
    </w:p>
    <w:p w:rsidR="00AE3342" w:rsidRDefault="00AE3342" w:rsidP="00AE3342">
      <w:pPr>
        <w:ind w:firstLine="540"/>
        <w:jc w:val="both"/>
        <w:rPr>
          <w:sz w:val="28"/>
          <w:szCs w:val="28"/>
        </w:rPr>
      </w:pPr>
    </w:p>
    <w:p w:rsidR="00AE3342" w:rsidRDefault="00AE3342" w:rsidP="00AE3342">
      <w:pPr>
        <w:ind w:firstLine="540"/>
        <w:jc w:val="both"/>
        <w:rPr>
          <w:sz w:val="28"/>
          <w:szCs w:val="28"/>
        </w:rPr>
      </w:pPr>
    </w:p>
    <w:p w:rsidR="00AE3342" w:rsidRDefault="00AE3342" w:rsidP="00AE33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Рассмотрев предложение прокуратуры Мамадышского района Республики Татарстан от 22.02.2022 г. № 02-01-19-2022, в соответствии с Федеральным законом от 21.12.2021 г. № 414-ФЗ «Об общих принципах организации публичной власти в субъектах Российской Федерации»,  Исполнительный комитет Мамадышского муниципального района Республики Татарстан</w:t>
      </w:r>
    </w:p>
    <w:p w:rsidR="00AE3342" w:rsidRDefault="00AE3342" w:rsidP="00AE33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 о с т а н о в л я е т :</w:t>
      </w:r>
    </w:p>
    <w:p w:rsidR="00AE3342" w:rsidRDefault="00AE3342" w:rsidP="00AE33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1.В абзаце 2 раздела 1  Положения о комиссии по предупреждению и ликвидации чрезвычайных ситуаций и обеспечению пожарной безопасности Мамадышского муниципального района, утвержденной постановлением Исполнительного комитета Мамадышского муниципального района Республики Татарстан от 07.07.2021г. № 226  слова «Президента Республики Татарстан» заменить на «Главы Республики Татарстан». </w:t>
      </w:r>
    </w:p>
    <w:p w:rsidR="00AE3342" w:rsidRDefault="00AE3342" w:rsidP="00AE3342">
      <w:pPr>
        <w:shd w:val="clear" w:color="auto" w:fill="FFFFFF"/>
        <w:tabs>
          <w:tab w:val="left" w:pos="9780"/>
        </w:tabs>
        <w:spacing w:line="326" w:lineRule="exact"/>
        <w:ind w:right="-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2.</w:t>
      </w:r>
      <w:r>
        <w:rPr>
          <w:spacing w:val="-1"/>
          <w:sz w:val="28"/>
          <w:szCs w:val="28"/>
        </w:rPr>
        <w:t xml:space="preserve"> Постановление Исполнительного комитета Мамадышского муниципального района Республики  Татарстан  вступает в силу с 01.06.2022 года.</w:t>
      </w:r>
    </w:p>
    <w:p w:rsidR="00AE3342" w:rsidRDefault="00AE3342" w:rsidP="00AE3342">
      <w:pPr>
        <w:widowControl w:val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3.</w:t>
      </w:r>
      <w:r>
        <w:rPr>
          <w:sz w:val="28"/>
          <w:szCs w:val="28"/>
        </w:rPr>
        <w:t xml:space="preserve">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AE3342" w:rsidRDefault="00AE3342" w:rsidP="00AE3342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4. Контроль за исполнением настоящего   постановления возложить на           заместителя     руководителя   Исполнительного комитета муниципального района  Никифорова Р.М.</w:t>
      </w:r>
    </w:p>
    <w:p w:rsidR="00AE3342" w:rsidRDefault="00AE3342" w:rsidP="00AE3342">
      <w:pPr>
        <w:pStyle w:val="af2"/>
        <w:snapToGrid w:val="0"/>
        <w:rPr>
          <w:szCs w:val="28"/>
        </w:rPr>
      </w:pPr>
      <w:r>
        <w:rPr>
          <w:szCs w:val="28"/>
        </w:rPr>
        <w:t xml:space="preserve"> </w:t>
      </w:r>
    </w:p>
    <w:p w:rsidR="00AE3342" w:rsidRDefault="00AE3342" w:rsidP="00AE3342">
      <w:pPr>
        <w:pStyle w:val="af2"/>
        <w:snapToGrid w:val="0"/>
        <w:rPr>
          <w:szCs w:val="28"/>
        </w:rPr>
      </w:pPr>
    </w:p>
    <w:p w:rsidR="00AE3342" w:rsidRDefault="00AE3342" w:rsidP="00AE3342">
      <w:pPr>
        <w:pStyle w:val="af2"/>
        <w:snapToGrid w:val="0"/>
        <w:rPr>
          <w:szCs w:val="28"/>
        </w:rPr>
      </w:pPr>
      <w:r>
        <w:rPr>
          <w:szCs w:val="28"/>
        </w:rPr>
        <w:t xml:space="preserve">Руководитель                                                                                           И.М.Дарземанов                                                             </w:t>
      </w:r>
    </w:p>
    <w:p w:rsidR="00AE3342" w:rsidRDefault="00AE3342" w:rsidP="00AE3342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E3342" w:rsidRDefault="00AE3342" w:rsidP="00AE3342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E3342" w:rsidRDefault="00AE3342" w:rsidP="00AE3342"/>
    <w:sectPr w:rsidR="00AE334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37" w:rsidRDefault="003A7C37">
      <w:r>
        <w:separator/>
      </w:r>
    </w:p>
  </w:endnote>
  <w:endnote w:type="continuationSeparator" w:id="0">
    <w:p w:rsidR="003A7C37" w:rsidRDefault="003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37" w:rsidRDefault="003A7C37">
      <w:r>
        <w:separator/>
      </w:r>
    </w:p>
  </w:footnote>
  <w:footnote w:type="continuationSeparator" w:id="0">
    <w:p w:rsidR="003A7C37" w:rsidRDefault="003A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A7C37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578CE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3342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A57B5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648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af2">
    <w:name w:val="Содержимое таблицы"/>
    <w:basedOn w:val="a"/>
    <w:rsid w:val="00AE3342"/>
    <w:pPr>
      <w:suppressLineNumber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23F059-891C-490C-9114-D10D7B10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2022-03-11T08:34:00Z</cp:lastPrinted>
  <dcterms:created xsi:type="dcterms:W3CDTF">2022-03-11T08:34:00Z</dcterms:created>
  <dcterms:modified xsi:type="dcterms:W3CDTF">2022-03-14T12:07:00Z</dcterms:modified>
</cp:coreProperties>
</file>