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59369D">
              <w:rPr>
                <w:sz w:val="28"/>
              </w:rPr>
              <w:t xml:space="preserve"> 378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9369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26 »    11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17BFA">
        <w:rPr>
          <w:sz w:val="28"/>
          <w:szCs w:val="28"/>
        </w:rPr>
        <w:t xml:space="preserve">Об утверждении </w:t>
      </w:r>
      <w:r w:rsidRPr="00617BFA">
        <w:rPr>
          <w:bCs/>
          <w:color w:val="000000"/>
          <w:sz w:val="28"/>
          <w:szCs w:val="28"/>
        </w:rPr>
        <w:t xml:space="preserve">Положения </w:t>
      </w:r>
    </w:p>
    <w:p w:rsidR="00617BFA" w:rsidRPr="00617BFA" w:rsidRDefault="00617BFA" w:rsidP="00617BFA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17BFA">
        <w:rPr>
          <w:bCs/>
          <w:color w:val="000000"/>
          <w:sz w:val="28"/>
          <w:szCs w:val="28"/>
        </w:rPr>
        <w:t xml:space="preserve">о муниципальной автоматизированной  </w:t>
      </w:r>
    </w:p>
    <w:p w:rsidR="00617BFA" w:rsidRPr="00617BFA" w:rsidRDefault="00617BFA" w:rsidP="00617BFA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17BFA">
        <w:rPr>
          <w:bCs/>
          <w:color w:val="000000"/>
          <w:sz w:val="28"/>
          <w:szCs w:val="28"/>
        </w:rPr>
        <w:t xml:space="preserve">системе оповещения населения </w:t>
      </w:r>
    </w:p>
    <w:p w:rsidR="00617BFA" w:rsidRPr="00617BFA" w:rsidRDefault="00617BFA" w:rsidP="00617BFA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17BFA">
        <w:rPr>
          <w:bCs/>
          <w:color w:val="000000"/>
          <w:sz w:val="28"/>
          <w:szCs w:val="28"/>
        </w:rPr>
        <w:t>Мамадышского муниципального района</w:t>
      </w:r>
    </w:p>
    <w:p w:rsidR="00617BFA" w:rsidRPr="00617BFA" w:rsidRDefault="00617BFA" w:rsidP="00617BFA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617BFA">
        <w:rPr>
          <w:bCs/>
          <w:color w:val="000000"/>
          <w:sz w:val="28"/>
          <w:szCs w:val="28"/>
        </w:rPr>
        <w:t>Республики Татарстан</w:t>
      </w: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szCs w:val="28"/>
        </w:rPr>
      </w:pPr>
    </w:p>
    <w:p w:rsidR="00617BFA" w:rsidRDefault="00617BFA" w:rsidP="00617BFA">
      <w:pPr>
        <w:ind w:firstLine="567"/>
        <w:jc w:val="both"/>
        <w:rPr>
          <w:color w:val="282828"/>
          <w:sz w:val="28"/>
          <w:szCs w:val="28"/>
        </w:rPr>
      </w:pPr>
      <w:r>
        <w:rPr>
          <w:sz w:val="28"/>
          <w:szCs w:val="28"/>
          <w:lang w:eastAsia="en-US"/>
        </w:rPr>
        <w:t xml:space="preserve">  </w:t>
      </w:r>
      <w:r w:rsidRPr="00617BFA">
        <w:rPr>
          <w:sz w:val="28"/>
          <w:szCs w:val="28"/>
          <w:lang w:eastAsia="en-US"/>
        </w:rPr>
        <w:t>B соответствии с Постановлением Правительства Российской Федерации от 30.12.2003 г. № 794 «О единой государственной системе предупреждения и ликвидации чрезвычайных ситуаций», распоряжением МЧС России от 22.07.2021 года № 611 «Об утверждении Руководства по к</w:t>
      </w:r>
      <w:r>
        <w:rPr>
          <w:sz w:val="28"/>
          <w:szCs w:val="28"/>
          <w:lang w:eastAsia="en-US"/>
        </w:rPr>
        <w:t>оординации</w:t>
      </w:r>
      <w:r w:rsidRPr="00617BFA">
        <w:rPr>
          <w:sz w:val="28"/>
          <w:szCs w:val="28"/>
          <w:lang w:eastAsia="en-US"/>
        </w:rPr>
        <w:t xml:space="preserve"> контролю деятельности по выполнению мероприятий, направленных на создание и поддержание в состоянии постоянной готовности систем оповещения населения», Законом Республики Татарстан от 8 декабря 2004 года № 62-ЗРТ «О защите населения и территорий от чрезвычайных ситуаций», Законом Республики Татарстан от 13 марта 2020 года № 10-ЗРТ «О гражданской обороне в Республике Татарстан», постановлением Кабинета Министров Республики Татарстан от 26.07.2021 года № 655 «Об утверждении Положения о региональной автоматизированной системе централизованного оповещения населения Республики Татарстан»</w:t>
      </w:r>
      <w:r w:rsidRPr="00617BFA">
        <w:rPr>
          <w:sz w:val="28"/>
        </w:rPr>
        <w:t xml:space="preserve"> </w:t>
      </w:r>
      <w:r w:rsidRPr="00617BFA">
        <w:rPr>
          <w:color w:val="282828"/>
          <w:sz w:val="28"/>
          <w:szCs w:val="28"/>
        </w:rPr>
        <w:t>Исполнительный комитет  Мамадышского муниципального района Р</w:t>
      </w:r>
      <w:r>
        <w:rPr>
          <w:color w:val="282828"/>
          <w:sz w:val="28"/>
          <w:szCs w:val="28"/>
        </w:rPr>
        <w:t xml:space="preserve">еспублики Татарстан  </w:t>
      </w:r>
    </w:p>
    <w:p w:rsidR="00617BFA" w:rsidRPr="00617BFA" w:rsidRDefault="00617BFA" w:rsidP="00617BFA">
      <w:pPr>
        <w:ind w:firstLine="567"/>
        <w:jc w:val="both"/>
        <w:rPr>
          <w:sz w:val="28"/>
        </w:rPr>
      </w:pPr>
      <w:r>
        <w:rPr>
          <w:color w:val="282828"/>
          <w:sz w:val="28"/>
          <w:szCs w:val="28"/>
        </w:rPr>
        <w:t>п о с т а н о в л я е т</w:t>
      </w:r>
      <w:r w:rsidRPr="00617BFA">
        <w:rPr>
          <w:b/>
          <w:color w:val="282828"/>
          <w:sz w:val="28"/>
          <w:szCs w:val="28"/>
        </w:rPr>
        <w:t>:</w:t>
      </w: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     1.</w:t>
      </w:r>
      <w:r w:rsidRPr="00617BFA">
        <w:rPr>
          <w:sz w:val="28"/>
          <w:szCs w:val="28"/>
        </w:rPr>
        <w:t xml:space="preserve">Утвердить </w:t>
      </w:r>
      <w:r w:rsidRPr="00617BFA">
        <w:rPr>
          <w:bCs/>
          <w:color w:val="000000"/>
          <w:sz w:val="28"/>
          <w:szCs w:val="28"/>
        </w:rPr>
        <w:t>Положение о муниципальной автоматизированной системе централизованного оповещения населения Мамадышского муниципального района Республики Татарстан согласно приложению</w:t>
      </w:r>
      <w:r w:rsidRPr="00617BFA">
        <w:rPr>
          <w:sz w:val="28"/>
          <w:szCs w:val="28"/>
        </w:rPr>
        <w:t>.</w:t>
      </w:r>
      <w:r w:rsidRPr="00617BFA">
        <w:rPr>
          <w:sz w:val="28"/>
        </w:rPr>
        <w:t xml:space="preserve"> </w:t>
      </w: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2.</w:t>
      </w:r>
      <w:r w:rsidRPr="00617BFA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17BFA" w:rsidRPr="00617BFA" w:rsidRDefault="00617BFA" w:rsidP="00617BF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Pr="00617BFA">
        <w:rPr>
          <w:rFonts w:ascii="Arial" w:hAnsi="Arial" w:cs="Arial"/>
          <w:sz w:val="24"/>
          <w:szCs w:val="24"/>
        </w:rPr>
        <w:t xml:space="preserve"> </w:t>
      </w:r>
      <w:r w:rsidRPr="00617BFA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(http:pravo.tatarstan.ru) и на официальном сайте Мамадышского муниципального района.</w:t>
      </w:r>
      <w:r>
        <w:rPr>
          <w:sz w:val="28"/>
        </w:rPr>
        <w:br/>
        <w:t xml:space="preserve">       4.</w:t>
      </w:r>
      <w:r w:rsidRPr="00617BFA">
        <w:rPr>
          <w:sz w:val="28"/>
        </w:rPr>
        <w:t xml:space="preserve"> Контроль за исполнением настоящего постановления возложить на заместителя руководителя исполнительного комитета Мамадышского муниципального ра</w:t>
      </w:r>
      <w:r>
        <w:rPr>
          <w:sz w:val="28"/>
        </w:rPr>
        <w:t xml:space="preserve">йона Республики Татарстан   </w:t>
      </w:r>
      <w:r w:rsidRPr="00617BFA">
        <w:rPr>
          <w:sz w:val="28"/>
        </w:rPr>
        <w:t>Никифорова</w:t>
      </w:r>
      <w:r>
        <w:rPr>
          <w:sz w:val="28"/>
        </w:rPr>
        <w:t xml:space="preserve"> Р.М</w:t>
      </w:r>
      <w:r w:rsidRPr="00617BFA">
        <w:rPr>
          <w:sz w:val="28"/>
        </w:rPr>
        <w:t>.</w:t>
      </w:r>
    </w:p>
    <w:p w:rsidR="00617BFA" w:rsidRPr="00617BFA" w:rsidRDefault="00617BFA" w:rsidP="00617BFA">
      <w:pPr>
        <w:ind w:firstLine="426"/>
        <w:jc w:val="both"/>
        <w:rPr>
          <w:sz w:val="28"/>
          <w:szCs w:val="28"/>
        </w:rPr>
      </w:pPr>
    </w:p>
    <w:p w:rsidR="00617BFA" w:rsidRPr="00617BFA" w:rsidRDefault="00617BFA" w:rsidP="00617BFA">
      <w:pPr>
        <w:jc w:val="both"/>
        <w:rPr>
          <w:bCs/>
          <w:sz w:val="28"/>
          <w:szCs w:val="28"/>
        </w:rPr>
      </w:pPr>
    </w:p>
    <w:p w:rsidR="00617BFA" w:rsidRPr="00617BFA" w:rsidRDefault="00617BFA" w:rsidP="00617BFA">
      <w:pPr>
        <w:jc w:val="both"/>
        <w:rPr>
          <w:bCs/>
          <w:sz w:val="28"/>
          <w:szCs w:val="28"/>
        </w:rPr>
      </w:pPr>
      <w:r w:rsidRPr="00617BFA">
        <w:rPr>
          <w:bCs/>
          <w:sz w:val="28"/>
          <w:szCs w:val="28"/>
        </w:rPr>
        <w:t xml:space="preserve">Руководитель                                                                                   </w:t>
      </w:r>
      <w:r>
        <w:rPr>
          <w:bCs/>
          <w:sz w:val="28"/>
          <w:szCs w:val="28"/>
        </w:rPr>
        <w:t xml:space="preserve">    </w:t>
      </w:r>
      <w:r w:rsidRPr="00617BFA">
        <w:rPr>
          <w:bCs/>
          <w:sz w:val="28"/>
          <w:szCs w:val="28"/>
        </w:rPr>
        <w:t xml:space="preserve">    И.М.Дарземано</w:t>
      </w:r>
      <w:r>
        <w:rPr>
          <w:bCs/>
          <w:sz w:val="28"/>
          <w:szCs w:val="28"/>
        </w:rPr>
        <w:t>в</w:t>
      </w:r>
    </w:p>
    <w:p w:rsidR="00617BFA" w:rsidRPr="00617BFA" w:rsidRDefault="00617BFA" w:rsidP="00617BFA">
      <w:pPr>
        <w:tabs>
          <w:tab w:val="left" w:pos="5640"/>
        </w:tabs>
        <w:jc w:val="center"/>
        <w:rPr>
          <w:sz w:val="26"/>
          <w:szCs w:val="26"/>
          <w:lang w:val="tt-RU"/>
        </w:rPr>
      </w:pPr>
      <w:r w:rsidRPr="00617BFA">
        <w:rPr>
          <w:sz w:val="26"/>
          <w:szCs w:val="26"/>
          <w:lang w:val="tt-RU"/>
        </w:rPr>
        <w:t xml:space="preserve">                                                                   </w:t>
      </w:r>
    </w:p>
    <w:p w:rsidR="00617BFA" w:rsidRDefault="00617BFA" w:rsidP="00617BFA">
      <w:pPr>
        <w:tabs>
          <w:tab w:val="left" w:pos="5640"/>
        </w:tabs>
        <w:jc w:val="center"/>
        <w:rPr>
          <w:sz w:val="26"/>
          <w:szCs w:val="26"/>
          <w:lang w:val="tt-RU"/>
        </w:rPr>
      </w:pPr>
      <w:r w:rsidRPr="00617BFA">
        <w:rPr>
          <w:sz w:val="26"/>
          <w:szCs w:val="26"/>
          <w:lang w:val="tt-RU"/>
        </w:rPr>
        <w:t xml:space="preserve">                                                                     </w:t>
      </w:r>
    </w:p>
    <w:p w:rsidR="00617BFA" w:rsidRPr="00617BFA" w:rsidRDefault="00617BFA" w:rsidP="00617BFA">
      <w:pPr>
        <w:tabs>
          <w:tab w:val="left" w:pos="5640"/>
        </w:tabs>
        <w:jc w:val="center"/>
        <w:rPr>
          <w:sz w:val="24"/>
          <w:szCs w:val="24"/>
          <w:lang w:val="tt-RU"/>
        </w:rPr>
      </w:pPr>
      <w:r>
        <w:rPr>
          <w:sz w:val="26"/>
          <w:szCs w:val="26"/>
          <w:lang w:val="tt-RU"/>
        </w:rPr>
        <w:lastRenderedPageBreak/>
        <w:t xml:space="preserve">                                                                </w:t>
      </w:r>
      <w:r w:rsidRPr="00617BFA">
        <w:rPr>
          <w:sz w:val="24"/>
          <w:szCs w:val="24"/>
          <w:lang w:val="tt-RU"/>
        </w:rPr>
        <w:t>Приложение к постановлению</w:t>
      </w:r>
    </w:p>
    <w:p w:rsidR="00617BFA" w:rsidRDefault="00617BFA" w:rsidP="00617BFA">
      <w:pPr>
        <w:spacing w:line="252" w:lineRule="auto"/>
        <w:ind w:left="5583" w:hanging="10"/>
        <w:rPr>
          <w:sz w:val="24"/>
          <w:szCs w:val="24"/>
        </w:rPr>
      </w:pPr>
      <w:r w:rsidRPr="00617BFA">
        <w:rPr>
          <w:sz w:val="24"/>
          <w:szCs w:val="24"/>
        </w:rPr>
        <w:t xml:space="preserve">Исполнительного комитета Мамадышского муниципального района </w:t>
      </w:r>
    </w:p>
    <w:p w:rsidR="00617BFA" w:rsidRPr="00617BFA" w:rsidRDefault="00617BFA" w:rsidP="00617BFA">
      <w:pPr>
        <w:spacing w:line="252" w:lineRule="auto"/>
        <w:ind w:left="5583" w:hanging="10"/>
        <w:rPr>
          <w:sz w:val="24"/>
          <w:szCs w:val="24"/>
        </w:rPr>
      </w:pPr>
      <w:r w:rsidRPr="00617BFA">
        <w:rPr>
          <w:sz w:val="24"/>
          <w:szCs w:val="24"/>
        </w:rPr>
        <w:t>Республики Татарстан</w:t>
      </w:r>
    </w:p>
    <w:p w:rsidR="00617BFA" w:rsidRPr="00617BFA" w:rsidRDefault="0059369D" w:rsidP="00617BFA">
      <w:pPr>
        <w:spacing w:after="642" w:line="254" w:lineRule="auto"/>
        <w:ind w:left="5573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«26»   11     </w:t>
      </w:r>
      <w:r w:rsidR="00617BFA" w:rsidRPr="00617BFA">
        <w:rPr>
          <w:noProof/>
          <w:sz w:val="24"/>
          <w:szCs w:val="24"/>
        </w:rPr>
        <w:t>2021 г.</w:t>
      </w:r>
      <w:r>
        <w:rPr>
          <w:noProof/>
          <w:sz w:val="24"/>
          <w:szCs w:val="24"/>
        </w:rPr>
        <w:t xml:space="preserve"> № 378</w:t>
      </w:r>
      <w:bookmarkStart w:id="0" w:name="_GoBack"/>
      <w:bookmarkEnd w:id="0"/>
    </w:p>
    <w:p w:rsidR="00617BFA" w:rsidRPr="00617BFA" w:rsidRDefault="0059369D" w:rsidP="00617BFA">
      <w:pPr>
        <w:spacing w:after="254" w:line="252" w:lineRule="auto"/>
        <w:ind w:left="504" w:right="259" w:firstLine="8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17BFA" w:rsidRPr="00617BFA">
        <w:rPr>
          <w:noProof/>
          <w:sz w:val="28"/>
          <w:szCs w:val="28"/>
        </w:rPr>
        <w:drawing>
          <wp:inline distT="0" distB="0" distL="0" distR="0" wp14:anchorId="2FE3186F" wp14:editId="1976AB1B">
            <wp:extent cx="12065" cy="12065"/>
            <wp:effectExtent l="0" t="0" r="0" b="0"/>
            <wp:docPr id="16" name="Picture 4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7BFA" w:rsidRPr="00617BFA">
        <w:rPr>
          <w:b/>
          <w:sz w:val="28"/>
          <w:szCs w:val="28"/>
        </w:rPr>
        <w:t>Положение о муниципальной автоматизированной системе централизованного оповещения населения Мамадышского муниципального района Республики Татарстан</w:t>
      </w:r>
    </w:p>
    <w:p w:rsidR="00617BFA" w:rsidRPr="00617BFA" w:rsidRDefault="00617BFA" w:rsidP="00617BFA">
      <w:pPr>
        <w:numPr>
          <w:ilvl w:val="0"/>
          <w:numId w:val="24"/>
        </w:numPr>
        <w:spacing w:line="235" w:lineRule="auto"/>
        <w:ind w:right="814"/>
        <w:jc w:val="center"/>
        <w:rPr>
          <w:b/>
          <w:sz w:val="28"/>
          <w:szCs w:val="28"/>
        </w:rPr>
      </w:pPr>
      <w:r w:rsidRPr="00617BFA">
        <w:rPr>
          <w:b/>
          <w:sz w:val="28"/>
          <w:szCs w:val="28"/>
        </w:rPr>
        <w:t>Общие положения</w:t>
      </w:r>
    </w:p>
    <w:p w:rsidR="00617BFA" w:rsidRPr="00617BFA" w:rsidRDefault="00617BFA" w:rsidP="00617BFA">
      <w:pPr>
        <w:spacing w:line="235" w:lineRule="auto"/>
        <w:ind w:left="1433" w:right="814"/>
        <w:rPr>
          <w:b/>
          <w:sz w:val="28"/>
          <w:szCs w:val="28"/>
        </w:rPr>
      </w:pPr>
    </w:p>
    <w:p w:rsidR="00617BFA" w:rsidRPr="00617BFA" w:rsidRDefault="00617BFA" w:rsidP="00617BFA">
      <w:pPr>
        <w:numPr>
          <w:ilvl w:val="1"/>
          <w:numId w:val="25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Настоящее Положение определяет назначение, задачи и требования к муниципальной автоматизированной системе централизованного оповещения населения Мамадышского муниципального района Республики Татарстан (далее - муниципальная система оповещения населения), порядок ее применения и поддержания в состоянии постоянной готовности.</w:t>
      </w:r>
    </w:p>
    <w:p w:rsidR="00617BFA" w:rsidRPr="00617BFA" w:rsidRDefault="00617BFA" w:rsidP="00617BFA">
      <w:pPr>
        <w:numPr>
          <w:ilvl w:val="1"/>
          <w:numId w:val="25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Настоящее Положение разработано в соответствии с законами Республики Татарстан от 8 декабря 2004 года № 62-ЗРТ «О защите населения и территорий от чрезвычайных ситуаций», от 13 марта 2020 года № 10-ЗРТ «О гражданской обороне в Республике Татарстан» и иными нормативными правовыми актами в области гражданской обороны и защиты населения и территорий от чрезвычайных ситуаций.</w:t>
      </w:r>
    </w:p>
    <w:p w:rsidR="00617BFA" w:rsidRPr="00617BFA" w:rsidRDefault="00617BFA" w:rsidP="00617BFA">
      <w:pPr>
        <w:ind w:left="331"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17BFA">
        <w:rPr>
          <w:noProof/>
          <w:sz w:val="28"/>
          <w:szCs w:val="28"/>
        </w:rPr>
        <w:drawing>
          <wp:inline distT="0" distB="0" distL="0" distR="0" wp14:anchorId="362D1CA3" wp14:editId="15F861BE">
            <wp:extent cx="12065" cy="12065"/>
            <wp:effectExtent l="0" t="0" r="0" b="0"/>
            <wp:docPr id="17" name="Picture 4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BFA">
        <w:rPr>
          <w:sz w:val="28"/>
          <w:szCs w:val="28"/>
        </w:rPr>
        <w:t>1.3. Термины и определения, используемые в настоящем Положении, применяются в значениях, установленных в соответствии с Законом Республики Татарстан от 8 декабря 2004 года № 62-ЗРТ «О защите населения и территорий от чрезвычайных ситуаций»,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 июля 2020 года № 578/365 «Об утверждении Положения о системах оповещения населения» и иными нормативными правовыми актами в области гражданской обороны и защиты населения и территорий от чрезвычайных ситуаций.</w:t>
      </w:r>
    </w:p>
    <w:p w:rsidR="00617BFA" w:rsidRPr="00617BFA" w:rsidRDefault="00617BFA" w:rsidP="00617BFA">
      <w:pPr>
        <w:numPr>
          <w:ilvl w:val="1"/>
          <w:numId w:val="26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 xml:space="preserve">Муниципальная система оповещения населения включается в систему управления гражданской обороной и территориальной подсистемой предупреждения и ликвидации чрезвычайных ситуаций Республики Татарстан, являющейся составной частью единой государственной системы предупреждения и ликвидации </w:t>
      </w:r>
      <w:r w:rsidRPr="00617BFA">
        <w:rPr>
          <w:noProof/>
          <w:sz w:val="28"/>
          <w:szCs w:val="28"/>
        </w:rPr>
        <w:drawing>
          <wp:inline distT="0" distB="0" distL="0" distR="0" wp14:anchorId="7BB06989" wp14:editId="3088DE65">
            <wp:extent cx="12065" cy="12065"/>
            <wp:effectExtent l="0" t="0" r="0" b="0"/>
            <wp:docPr id="18" name="Picture 4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BFA">
        <w:rPr>
          <w:sz w:val="28"/>
          <w:szCs w:val="28"/>
        </w:rPr>
        <w:t xml:space="preserve">чрезвычайных ситуаций, обеспечивающей доведение до населения, органов управления и сил гражданской обороны и ТСЧС сигналов оповещения и (или) экстренной информации, и состоит из комбинации взаимодействующих элементов, состоящих из специальных программно-технических средств оповещения, средств комплексной системы экстренного оповещения населения (далее - КСЭОН), общероссийской комплексной системы информирования и оповещения населения в местах массового пребывания людей, громкоговорящих средств на подвижных объектах, мобильных и носимых </w:t>
      </w:r>
      <w:r w:rsidRPr="00617BFA">
        <w:rPr>
          <w:sz w:val="28"/>
          <w:szCs w:val="28"/>
        </w:rPr>
        <w:lastRenderedPageBreak/>
        <w:t>средств оповещения, а также обеспечивающих ее функционирование каналов, линий связи и сетей передачи данных единой сети электросвязи Российской Федерации. Сигнал оповещения является командой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обороны, звеном территориальной подсистемы предупреждения и ликвидации чрезвычайных ситуаций  Мамадышского муниципального района (далее - звено ТСЧС), а также для применения населением средств и способов защиты. Экстренная информация о фактических и прогнозируемых опасных природных явлениях и техногенных процессах, загрязнении окружающей среды, заболеваниях, которые могут угрожать жизни или здоровью граждан, а также правилах поведения и способах защиты незамедлительно передается по муниципальной системе оповещения населения.</w:t>
      </w:r>
    </w:p>
    <w:p w:rsidR="00617BFA" w:rsidRPr="00617BFA" w:rsidRDefault="00617BFA" w:rsidP="00617BFA">
      <w:pPr>
        <w:numPr>
          <w:ilvl w:val="1"/>
          <w:numId w:val="26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 xml:space="preserve">Границами зон действия муниципальной системы оповещения являются административные границы Мамадышского муниципального района Республики Татарстан. Границами зон действия (создания) КСЭОН являются границы зон экстренного оповещения населения, утверждаемые Кабинетом Министров Республики Татарстан. </w:t>
      </w:r>
      <w:r w:rsidRPr="00617BFA">
        <w:rPr>
          <w:noProof/>
          <w:sz w:val="28"/>
          <w:szCs w:val="28"/>
        </w:rPr>
        <w:drawing>
          <wp:inline distT="0" distB="0" distL="0" distR="0" wp14:anchorId="39CDA22F" wp14:editId="74CF560F">
            <wp:extent cx="12065" cy="12065"/>
            <wp:effectExtent l="0" t="0" r="0" b="0"/>
            <wp:docPr id="19" name="Picture 6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BFA" w:rsidRPr="00617BFA" w:rsidRDefault="00617BFA" w:rsidP="00617BFA">
      <w:pPr>
        <w:numPr>
          <w:ilvl w:val="1"/>
          <w:numId w:val="26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Создание и поддержание в состоянии постоянной готовности муниципальной системы оповещения населения является составной частью комплекса мероприятий по подготовке и ведению гражданской обороны, предупреждению и ликвидации чрезвычайных ситуаций природного и техногенного характера.</w:t>
      </w:r>
    </w:p>
    <w:p w:rsidR="00617BFA" w:rsidRPr="00617BFA" w:rsidRDefault="00617BFA" w:rsidP="00617BFA">
      <w:pPr>
        <w:numPr>
          <w:ilvl w:val="1"/>
          <w:numId w:val="26"/>
        </w:numPr>
        <w:spacing w:after="29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Муниципальная система оповещения населения должна соответствовать требованиям, изложенным в приказе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 июля 2020 года № 578/365 «Об утверждении Положения о системах оповещения населения».</w:t>
      </w:r>
    </w:p>
    <w:p w:rsidR="00617BFA" w:rsidRDefault="00617BFA" w:rsidP="00617BFA">
      <w:pPr>
        <w:numPr>
          <w:ilvl w:val="0"/>
          <w:numId w:val="27"/>
        </w:numPr>
        <w:spacing w:line="235" w:lineRule="auto"/>
        <w:ind w:right="778" w:hanging="10"/>
        <w:jc w:val="center"/>
        <w:rPr>
          <w:b/>
          <w:sz w:val="28"/>
          <w:szCs w:val="28"/>
        </w:rPr>
      </w:pPr>
      <w:r w:rsidRPr="00617BFA">
        <w:rPr>
          <w:b/>
          <w:sz w:val="28"/>
          <w:szCs w:val="28"/>
        </w:rPr>
        <w:t>Назначение и основные задачи муниципальной системы оповещения населения</w:t>
      </w:r>
    </w:p>
    <w:p w:rsidR="00617BFA" w:rsidRPr="00617BFA" w:rsidRDefault="00617BFA" w:rsidP="00617BFA">
      <w:pPr>
        <w:spacing w:line="235" w:lineRule="auto"/>
        <w:ind w:left="1083" w:right="778"/>
        <w:rPr>
          <w:b/>
          <w:sz w:val="28"/>
          <w:szCs w:val="28"/>
        </w:rPr>
      </w:pPr>
    </w:p>
    <w:p w:rsidR="00617BFA" w:rsidRPr="00617BFA" w:rsidRDefault="00617BFA" w:rsidP="00617BFA">
      <w:pPr>
        <w:ind w:left="331"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2.1</w:t>
      </w:r>
      <w:r w:rsidRPr="00617BFA">
        <w:rPr>
          <w:sz w:val="28"/>
          <w:szCs w:val="28"/>
        </w:rPr>
        <w:t>. Основной задачей муниципальной системы оповещения является обеспечение доведения сигналов оповещения и экстренной информации до:</w:t>
      </w:r>
    </w:p>
    <w:p w:rsidR="00617BFA" w:rsidRPr="00617BFA" w:rsidRDefault="00617BFA" w:rsidP="00617BFA">
      <w:pPr>
        <w:numPr>
          <w:ilvl w:val="0"/>
          <w:numId w:val="28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руководящего состава гражданской обороны и звена ТСЧС;</w:t>
      </w:r>
    </w:p>
    <w:p w:rsidR="00617BFA" w:rsidRPr="00617BFA" w:rsidRDefault="00617BFA" w:rsidP="00617BFA">
      <w:pPr>
        <w:numPr>
          <w:ilvl w:val="0"/>
          <w:numId w:val="28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 xml:space="preserve">сил гражданской обороны и сил звена ТСЧС Мамадышского муниципального района; </w:t>
      </w:r>
      <w:r w:rsidRPr="00617BFA">
        <w:rPr>
          <w:noProof/>
          <w:sz w:val="28"/>
          <w:szCs w:val="28"/>
        </w:rPr>
        <w:drawing>
          <wp:inline distT="0" distB="0" distL="0" distR="0" wp14:anchorId="20D3B0D4" wp14:editId="5D4B2C6A">
            <wp:extent cx="47625" cy="23495"/>
            <wp:effectExtent l="0" t="0" r="9525" b="0"/>
            <wp:docPr id="20" name="Picture 6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BFA">
        <w:rPr>
          <w:sz w:val="28"/>
          <w:szCs w:val="28"/>
        </w:rPr>
        <w:t xml:space="preserve"> единой дежурно-диспетчерской службы Мамадышского муниципального района (далее - ЕДДС) и дежурных служб (руководителей) социально значимых объектов;</w:t>
      </w:r>
    </w:p>
    <w:p w:rsidR="00617BFA" w:rsidRPr="00617BFA" w:rsidRDefault="00617BFA" w:rsidP="00617BFA">
      <w:pPr>
        <w:numPr>
          <w:ilvl w:val="0"/>
          <w:numId w:val="28"/>
        </w:numPr>
        <w:spacing w:after="274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 xml:space="preserve">людей, находящихся на территории Мамадышского муниципального района. </w:t>
      </w:r>
    </w:p>
    <w:p w:rsidR="00617BFA" w:rsidRPr="00617BFA" w:rsidRDefault="00617BFA" w:rsidP="00617BFA">
      <w:pPr>
        <w:numPr>
          <w:ilvl w:val="0"/>
          <w:numId w:val="28"/>
        </w:numPr>
        <w:spacing w:after="274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lastRenderedPageBreak/>
        <w:t>2.2. Основной задачей КСЭОН является обеспечение доведения сигналов оповещения и экстренной информации до людей, находящихся в зонах экстренного оповещения населения, а также органов повседневного управления ТСЧС соответствующего уровня.</w:t>
      </w:r>
    </w:p>
    <w:p w:rsidR="00617BFA" w:rsidRPr="00617BFA" w:rsidRDefault="00617BFA" w:rsidP="00617BFA">
      <w:pPr>
        <w:spacing w:line="235" w:lineRule="auto"/>
        <w:ind w:left="327" w:hanging="10"/>
        <w:jc w:val="center"/>
        <w:rPr>
          <w:b/>
          <w:sz w:val="28"/>
          <w:szCs w:val="28"/>
        </w:rPr>
      </w:pPr>
      <w:r w:rsidRPr="00617BFA">
        <w:rPr>
          <w:b/>
          <w:sz w:val="28"/>
          <w:szCs w:val="28"/>
        </w:rPr>
        <w:t xml:space="preserve">З. Порядок применения муниципальной системы оповещения населения </w:t>
      </w:r>
    </w:p>
    <w:p w:rsidR="00617BFA" w:rsidRPr="00617BFA" w:rsidRDefault="00617BFA" w:rsidP="00617BFA">
      <w:pPr>
        <w:spacing w:line="235" w:lineRule="auto"/>
        <w:ind w:left="327" w:hanging="10"/>
        <w:jc w:val="center"/>
        <w:rPr>
          <w:b/>
          <w:sz w:val="28"/>
          <w:szCs w:val="28"/>
        </w:rPr>
      </w:pPr>
    </w:p>
    <w:p w:rsidR="00617BFA" w:rsidRPr="00617BFA" w:rsidRDefault="00617BFA" w:rsidP="00617BFA">
      <w:pPr>
        <w:ind w:left="331"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17BFA">
        <w:rPr>
          <w:sz w:val="28"/>
          <w:szCs w:val="28"/>
        </w:rPr>
        <w:t>3.1. Задействование по предназначению систем оповещения населения планируется и осуществляется в соответствии с настоящим Положением, планами гражданской обороны и защиты населения и планами действий по предупреждению и ликвидации чрезвычайных ситуаций.</w:t>
      </w:r>
    </w:p>
    <w:p w:rsidR="00617BFA" w:rsidRPr="00617BFA" w:rsidRDefault="00617BFA" w:rsidP="00617BFA">
      <w:pPr>
        <w:spacing w:after="61"/>
        <w:ind w:left="331" w:right="21" w:firstLine="655"/>
        <w:jc w:val="both"/>
        <w:rPr>
          <w:sz w:val="28"/>
          <w:szCs w:val="28"/>
        </w:rPr>
      </w:pPr>
      <w:r w:rsidRPr="00617BFA">
        <w:rPr>
          <w:noProof/>
          <w:sz w:val="28"/>
          <w:szCs w:val="28"/>
        </w:rPr>
        <w:drawing>
          <wp:inline distT="0" distB="0" distL="0" distR="0" wp14:anchorId="743380FD" wp14:editId="2427A7A3">
            <wp:extent cx="12065" cy="12065"/>
            <wp:effectExtent l="0" t="0" r="0" b="0"/>
            <wp:docPr id="21" name="Picture 6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7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BFA">
        <w:rPr>
          <w:sz w:val="28"/>
          <w:szCs w:val="28"/>
        </w:rPr>
        <w:t>3.2. Дежурные (дежурно-диспетчерские) службы органов повседневного управления звеном ТСЧС муниципального уровня, получив в системе управления гражданской обороной и ТСЧС сигналы оповещения и (или) экстренную информацию, подтверждают получение и немедленно доводят ее до руководителя исполнительного комитета муниципального района, а также органов управления и сил гражданской обороны и ТСЧС соответствующего уровня.</w:t>
      </w:r>
    </w:p>
    <w:p w:rsidR="00617BFA" w:rsidRPr="00617BFA" w:rsidRDefault="00617BFA" w:rsidP="00617BFA">
      <w:pPr>
        <w:numPr>
          <w:ilvl w:val="1"/>
          <w:numId w:val="29"/>
        </w:numPr>
        <w:spacing w:after="32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Решение на задействование муниципальной системы оповещения населения принимается Руководителем Исполнительного комитета Мамадышского муниципального района.</w:t>
      </w:r>
    </w:p>
    <w:p w:rsidR="00617BFA" w:rsidRPr="00617BFA" w:rsidRDefault="00617BFA" w:rsidP="00617BFA">
      <w:pPr>
        <w:ind w:left="331" w:right="21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КСЭОН задействуется в автоматическом режиме от систем мониторинга опасных природных явлений и техногенных процессов или в автоматизированном режиме по решению Руководителя Исполнительного комитета Мамадышского муниципального района.</w:t>
      </w:r>
    </w:p>
    <w:p w:rsidR="00617BFA" w:rsidRPr="00617BFA" w:rsidRDefault="00617BFA" w:rsidP="00617BFA">
      <w:pPr>
        <w:numPr>
          <w:ilvl w:val="1"/>
          <w:numId w:val="29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Передача сигналов оповещения и экстренной информации может осуществляться в автоматическом, автоматизированном либо ручном режимах функционирования муниципальной системы оповещения населения.</w:t>
      </w:r>
    </w:p>
    <w:p w:rsidR="00617BFA" w:rsidRPr="00617BFA" w:rsidRDefault="00617BFA" w:rsidP="00617BFA">
      <w:pPr>
        <w:ind w:left="331" w:right="21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В автоматическом режиме функционирования муниципальной системы оповещения населения включаются (запускаются) по заранее установленным программам при получении управляющих сигналов (команд) от систем мониторинга опасных природных явлений и техногенных процессов без участия соответствующих дежурных (дежурно-диспетчерских) служб, ответственных за включение (запуск) систем оповещения населения.</w:t>
      </w:r>
    </w:p>
    <w:p w:rsidR="00617BFA" w:rsidRPr="00617BFA" w:rsidRDefault="00617BFA" w:rsidP="00617BFA">
      <w:pPr>
        <w:ind w:left="331" w:right="21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В автоматизированном режиме функционирования включение (запуск) муниципальной системы оповещения населения осуществляется соответствующими дежурными (дежурно-диспетчерским) службами, уполномоченными на включение (запуск) систем оповещения населения, с автоматизированных рабочих мест при поступлении установленных сигналов (команд) и распоряжений.</w:t>
      </w:r>
    </w:p>
    <w:p w:rsidR="00617BFA" w:rsidRPr="00617BFA" w:rsidRDefault="00617BFA" w:rsidP="00617BFA">
      <w:pPr>
        <w:ind w:left="1022" w:right="21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В ручном режиме функционирования:</w:t>
      </w:r>
    </w:p>
    <w:p w:rsidR="00617BFA" w:rsidRPr="00617BFA" w:rsidRDefault="00617BFA" w:rsidP="00617BFA">
      <w:pPr>
        <w:numPr>
          <w:ilvl w:val="0"/>
          <w:numId w:val="28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 xml:space="preserve">уполномоченные дежурные (дежурно-диспетчерские) службы органов повседневного управления звеном ТСЧС осуществляют включение (запуск) оконечных средств оповещения непосредственно с мест их установки, а также направляют заявки операторам связи и (или) редакциям средств массовой </w:t>
      </w:r>
      <w:r w:rsidRPr="00617BFA">
        <w:rPr>
          <w:sz w:val="28"/>
          <w:szCs w:val="28"/>
        </w:rPr>
        <w:lastRenderedPageBreak/>
        <w:t>информации на передачу сигналов оповещения и экстренной информации в соответствии с законодательством Российской Федерации;</w:t>
      </w:r>
    </w:p>
    <w:p w:rsidR="00617BFA" w:rsidRPr="00617BFA" w:rsidRDefault="00617BFA" w:rsidP="00617BFA">
      <w:pPr>
        <w:numPr>
          <w:ilvl w:val="0"/>
          <w:numId w:val="28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задействуются громкоговорящие средства на подвижных объектах, мобильные и носимые средства оповещения.</w:t>
      </w:r>
    </w:p>
    <w:p w:rsidR="00617BFA" w:rsidRPr="00617BFA" w:rsidRDefault="00617BFA" w:rsidP="00617BFA">
      <w:pPr>
        <w:ind w:left="331" w:right="21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Автоматический режим функционирования является основным для КСЭОН, при этом допускается функционирование данной системы оповещения в автоматизированном режиме.</w:t>
      </w:r>
    </w:p>
    <w:p w:rsidR="00617BFA" w:rsidRPr="00617BFA" w:rsidRDefault="00617BFA" w:rsidP="00617BFA">
      <w:pPr>
        <w:ind w:left="331" w:right="21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Основным и приоритетным режимом функционирования муниципальной системы оповещения является автоматизированный.</w:t>
      </w:r>
    </w:p>
    <w:p w:rsidR="00617BFA" w:rsidRPr="00617BFA" w:rsidRDefault="00617BFA" w:rsidP="00617BFA">
      <w:pPr>
        <w:numPr>
          <w:ilvl w:val="1"/>
          <w:numId w:val="30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Передача сигналов оповещения и экстренной информации населению осуществляется подачей сигнала «ВНИМАНИЕ: ВСЕМ!» путем включения сетей электрических, электронных сирен и мощных акустических систем длительностью до 3 минут с последующей передачей по сетям связи, в том числе сетям связи телерадиовещания, через радиовещательные и телевизионные передающие станции операторов связи и организаций телерадиовещания с перерывом вещательных программ аудио- и (или) аудиовизуальных сообщений длительностью не более 5 минут (для сетей связи подвижной радиотелефонной связи - сообщений объемом не более 134 символов русского алфавита, включая цифры, пробелы и знаки препинания).</w:t>
      </w:r>
    </w:p>
    <w:p w:rsidR="00617BFA" w:rsidRPr="00617BFA" w:rsidRDefault="00617BFA" w:rsidP="00617BFA">
      <w:pPr>
        <w:spacing w:after="58"/>
        <w:ind w:left="331" w:right="21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Сигналы оповещения и экстренная информация передаются непосредственно с рабочего места дежурного ЕДДС.</w:t>
      </w:r>
    </w:p>
    <w:p w:rsidR="00617BFA" w:rsidRPr="00617BFA" w:rsidRDefault="00617BFA" w:rsidP="00617BFA">
      <w:pPr>
        <w:spacing w:after="14" w:line="252" w:lineRule="auto"/>
        <w:ind w:left="284" w:right="35"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17BFA">
        <w:rPr>
          <w:sz w:val="28"/>
          <w:szCs w:val="28"/>
        </w:rPr>
        <w:t xml:space="preserve">Допускается трехкратное повторение этих сообщений (для сетей подвижной </w:t>
      </w:r>
      <w:r>
        <w:rPr>
          <w:sz w:val="28"/>
          <w:szCs w:val="28"/>
        </w:rPr>
        <w:t xml:space="preserve"> </w:t>
      </w:r>
      <w:r w:rsidRPr="00617BFA">
        <w:rPr>
          <w:sz w:val="28"/>
          <w:szCs w:val="28"/>
        </w:rPr>
        <w:t xml:space="preserve">радиотелефонной связи повтор передачи сообщения осуществляется не ранее, чем </w:t>
      </w:r>
      <w:r w:rsidRPr="00617BFA">
        <w:rPr>
          <w:noProof/>
          <w:sz w:val="28"/>
          <w:szCs w:val="28"/>
        </w:rPr>
        <w:drawing>
          <wp:inline distT="0" distB="0" distL="0" distR="0" wp14:anchorId="76E87127" wp14:editId="2F5D37AB">
            <wp:extent cx="12065" cy="12065"/>
            <wp:effectExtent l="0" t="0" r="0" b="0"/>
            <wp:docPr id="22" name="Picture 11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6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BFA">
        <w:rPr>
          <w:sz w:val="28"/>
          <w:szCs w:val="28"/>
        </w:rPr>
        <w:t>закончится передача предыдущего сообщения).</w:t>
      </w:r>
    </w:p>
    <w:p w:rsidR="00617BFA" w:rsidRPr="00617BFA" w:rsidRDefault="00617BFA" w:rsidP="00617BFA">
      <w:pPr>
        <w:spacing w:after="30"/>
        <w:ind w:left="331" w:right="21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Типовые аудио- и аудиовизуальные, а также текстовые и графические сообщения населению о фактических и прогнозируемых чрезвычайных ситуациях готовятся заблаговременно постоянно действующим органом управления звеном ТСЧС совместно с ЕДДС.</w:t>
      </w:r>
    </w:p>
    <w:p w:rsidR="00617BFA" w:rsidRPr="00617BFA" w:rsidRDefault="00617BFA" w:rsidP="00617BFA">
      <w:pPr>
        <w:numPr>
          <w:ilvl w:val="1"/>
          <w:numId w:val="30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Для обеспечения своевременной передачи населению сигналов оповещения и экстренной информации комплексно могут использоваться:</w:t>
      </w:r>
    </w:p>
    <w:p w:rsidR="00617BFA" w:rsidRPr="00617BFA" w:rsidRDefault="00617BFA" w:rsidP="00617BFA">
      <w:pPr>
        <w:numPr>
          <w:ilvl w:val="0"/>
          <w:numId w:val="28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сети электрических, электронных сирен и мощных акустических систем;</w:t>
      </w:r>
    </w:p>
    <w:p w:rsidR="00617BFA" w:rsidRPr="00617BFA" w:rsidRDefault="00617BFA" w:rsidP="00617BFA">
      <w:pPr>
        <w:ind w:left="1001" w:right="21"/>
        <w:jc w:val="both"/>
        <w:rPr>
          <w:sz w:val="28"/>
          <w:szCs w:val="28"/>
        </w:rPr>
      </w:pPr>
      <w:r w:rsidRPr="00617BFA">
        <w:rPr>
          <w:noProof/>
          <w:sz w:val="28"/>
          <w:szCs w:val="28"/>
        </w:rPr>
        <w:drawing>
          <wp:inline distT="0" distB="0" distL="0" distR="0" wp14:anchorId="4E49E020" wp14:editId="770DF05C">
            <wp:extent cx="12065" cy="12065"/>
            <wp:effectExtent l="0" t="0" r="0" b="0"/>
            <wp:docPr id="23" name="Picture 1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BFA">
        <w:rPr>
          <w:sz w:val="28"/>
          <w:szCs w:val="28"/>
        </w:rPr>
        <w:t>- сети проводного радиовещания;</w:t>
      </w:r>
    </w:p>
    <w:p w:rsidR="00617BFA" w:rsidRPr="00617BFA" w:rsidRDefault="00617BFA" w:rsidP="00617BFA">
      <w:pPr>
        <w:numPr>
          <w:ilvl w:val="0"/>
          <w:numId w:val="28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сети уличной радиофикации;</w:t>
      </w:r>
    </w:p>
    <w:p w:rsidR="00617BFA" w:rsidRPr="00617BFA" w:rsidRDefault="00617BFA" w:rsidP="00617BFA">
      <w:pPr>
        <w:numPr>
          <w:ilvl w:val="0"/>
          <w:numId w:val="28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сети кабельного телерадиовещания;</w:t>
      </w:r>
    </w:p>
    <w:p w:rsidR="00617BFA" w:rsidRPr="00617BFA" w:rsidRDefault="00617BFA" w:rsidP="00617BFA">
      <w:pPr>
        <w:numPr>
          <w:ilvl w:val="0"/>
          <w:numId w:val="28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сети эфирного телерадиовещания;</w:t>
      </w:r>
    </w:p>
    <w:p w:rsidR="00617BFA" w:rsidRPr="00617BFA" w:rsidRDefault="00617BFA" w:rsidP="00617BFA">
      <w:pPr>
        <w:numPr>
          <w:ilvl w:val="0"/>
          <w:numId w:val="28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сети подвижной радиотелефонной связи;</w:t>
      </w:r>
    </w:p>
    <w:p w:rsidR="00617BFA" w:rsidRPr="00617BFA" w:rsidRDefault="00617BFA" w:rsidP="00617BFA">
      <w:pPr>
        <w:numPr>
          <w:ilvl w:val="0"/>
          <w:numId w:val="28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сети местной телефонной связи, таксофоны с функцией оповещения; сети связи операторов связи и ведомственные; сети систем персонального радиовызова; информационно-телекоммуникационная сеть «Интернет»; громкоговорящие средства на подвижных объектах, мобильные и носимые средства оповещения.</w:t>
      </w:r>
    </w:p>
    <w:p w:rsidR="00617BFA" w:rsidRPr="00617BFA" w:rsidRDefault="00617BFA" w:rsidP="00617BFA">
      <w:pPr>
        <w:numPr>
          <w:ilvl w:val="1"/>
          <w:numId w:val="31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 xml:space="preserve">Рассмотрение вопросов об организации оповещения населения и определении способов и сроков оповещения населения в рамках муниципальной </w:t>
      </w:r>
      <w:r w:rsidRPr="00617BFA">
        <w:rPr>
          <w:sz w:val="28"/>
          <w:szCs w:val="28"/>
        </w:rPr>
        <w:lastRenderedPageBreak/>
        <w:t xml:space="preserve">системы </w:t>
      </w:r>
      <w:r w:rsidRPr="00617BFA">
        <w:rPr>
          <w:noProof/>
          <w:sz w:val="28"/>
          <w:szCs w:val="28"/>
        </w:rPr>
        <w:drawing>
          <wp:inline distT="0" distB="0" distL="0" distR="0" wp14:anchorId="03280851" wp14:editId="3D3887F3">
            <wp:extent cx="12065" cy="12065"/>
            <wp:effectExtent l="0" t="0" r="0" b="0"/>
            <wp:docPr id="24" name="Picture 11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BFA">
        <w:rPr>
          <w:sz w:val="28"/>
          <w:szCs w:val="28"/>
        </w:rPr>
        <w:t>оповещения населения осуществляется Комиссией по предупреждению и ликвидации чрезвычайных ситуаций и обеспечению пожарной безопасности Мамадышского муниципального района.</w:t>
      </w:r>
    </w:p>
    <w:p w:rsidR="00617BFA" w:rsidRPr="00617BFA" w:rsidRDefault="00617BFA" w:rsidP="00617BFA">
      <w:pPr>
        <w:numPr>
          <w:ilvl w:val="1"/>
          <w:numId w:val="31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Порядок действий дежурных (дежурно-диспетчерских) служб органов повседневного управления звена ТСЧС, а также операторов связи, телерадиовещательных организаций и редакций средств массовой информации при передаче сигналов оповещения и экстренной информации определяется законодательством Российской Федерации и нормативными правовыми актами Республики Татарстан.</w:t>
      </w:r>
    </w:p>
    <w:p w:rsidR="00617BFA" w:rsidRDefault="00617BFA" w:rsidP="00617BFA">
      <w:pPr>
        <w:numPr>
          <w:ilvl w:val="1"/>
          <w:numId w:val="31"/>
        </w:numPr>
        <w:spacing w:after="288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Исполнительный комитет Мамадышского муниципального района, в ведении которых находятся элементы муниципальной системы оповещения населения, а также постоянно действующие органы управления звеном ТСЧС, ЕДДС, операторы связи и редакции средств массовой информации проводят комплекс организационно-технических мероприятий по исключению несанкционированной передачи сигналов оповещения и экстренной информации.</w:t>
      </w:r>
    </w:p>
    <w:p w:rsidR="00617BFA" w:rsidRPr="00617BFA" w:rsidRDefault="00617BFA" w:rsidP="00617BFA">
      <w:pPr>
        <w:spacing w:after="288" w:line="252" w:lineRule="auto"/>
        <w:ind w:left="1034" w:right="21"/>
        <w:jc w:val="both"/>
        <w:rPr>
          <w:sz w:val="28"/>
          <w:szCs w:val="28"/>
        </w:rPr>
      </w:pPr>
    </w:p>
    <w:p w:rsidR="00617BFA" w:rsidRDefault="00617BFA" w:rsidP="00617BFA">
      <w:pPr>
        <w:spacing w:line="235" w:lineRule="auto"/>
        <w:ind w:left="1083" w:right="763" w:hanging="10"/>
        <w:jc w:val="center"/>
        <w:rPr>
          <w:b/>
          <w:sz w:val="28"/>
          <w:szCs w:val="28"/>
        </w:rPr>
      </w:pPr>
      <w:r w:rsidRPr="00617BFA">
        <w:rPr>
          <w:b/>
          <w:sz w:val="28"/>
          <w:szCs w:val="28"/>
        </w:rPr>
        <w:t>4. Поддержание в готовности муниципальной системы оповещения населения</w:t>
      </w:r>
    </w:p>
    <w:p w:rsidR="00AA415B" w:rsidRPr="00617BFA" w:rsidRDefault="00AA415B" w:rsidP="00617BFA">
      <w:pPr>
        <w:spacing w:line="235" w:lineRule="auto"/>
        <w:ind w:left="1083" w:right="763" w:hanging="10"/>
        <w:jc w:val="center"/>
        <w:rPr>
          <w:b/>
          <w:sz w:val="28"/>
          <w:szCs w:val="28"/>
        </w:rPr>
      </w:pPr>
    </w:p>
    <w:p w:rsidR="00617BFA" w:rsidRPr="00617BFA" w:rsidRDefault="00617BFA" w:rsidP="00617BFA">
      <w:pPr>
        <w:numPr>
          <w:ilvl w:val="1"/>
          <w:numId w:val="32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Поддержание муниципальной системы оповещения и КСЭОН в готовности организуется и осуществляется Исполнительным комитетом Мамадышского муниципального района.</w:t>
      </w:r>
    </w:p>
    <w:p w:rsidR="00617BFA" w:rsidRPr="00617BFA" w:rsidRDefault="00617BFA" w:rsidP="00617BFA">
      <w:pPr>
        <w:numPr>
          <w:ilvl w:val="1"/>
          <w:numId w:val="32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Готовность систем оповещения населения достигается:</w:t>
      </w:r>
    </w:p>
    <w:p w:rsidR="00617BFA" w:rsidRPr="00617BFA" w:rsidRDefault="00617BFA" w:rsidP="00617BFA">
      <w:pPr>
        <w:numPr>
          <w:ilvl w:val="0"/>
          <w:numId w:val="28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b/>
          <w:noProof/>
          <w:sz w:val="28"/>
        </w:rPr>
        <w:drawing>
          <wp:anchor distT="0" distB="0" distL="114300" distR="114300" simplePos="0" relativeHeight="251660288" behindDoc="0" locked="0" layoutInCell="1" allowOverlap="0" wp14:anchorId="7041D944" wp14:editId="6C5676C7">
            <wp:simplePos x="0" y="0"/>
            <wp:positionH relativeFrom="column">
              <wp:posOffset>562610</wp:posOffset>
            </wp:positionH>
            <wp:positionV relativeFrom="paragraph">
              <wp:posOffset>144780</wp:posOffset>
            </wp:positionV>
            <wp:extent cx="8890" cy="8890"/>
            <wp:effectExtent l="0" t="0" r="0" b="0"/>
            <wp:wrapSquare wrapText="bothSides"/>
            <wp:docPr id="25" name="Picture 11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7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BFA">
        <w:rPr>
          <w:sz w:val="28"/>
          <w:szCs w:val="28"/>
        </w:rPr>
        <w:t>наличием актуализированных нормативных актов в области создания, поддержания в состоянии постоянной готовности и применения систем оповещения населения;</w:t>
      </w:r>
    </w:p>
    <w:p w:rsidR="00617BFA" w:rsidRPr="00617BFA" w:rsidRDefault="00617BFA" w:rsidP="00617BFA">
      <w:pPr>
        <w:numPr>
          <w:ilvl w:val="0"/>
          <w:numId w:val="28"/>
        </w:numPr>
        <w:spacing w:after="37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наличием дежурного (дежурно-диспетчерского) персонала, ответственного за включение (запуск) системы оповещения населения, и уровнем его профессиональной подготовки;</w:t>
      </w:r>
    </w:p>
    <w:p w:rsidR="00617BFA" w:rsidRPr="00617BFA" w:rsidRDefault="00617BFA" w:rsidP="00617BFA">
      <w:pPr>
        <w:numPr>
          <w:ilvl w:val="0"/>
          <w:numId w:val="28"/>
        </w:numPr>
        <w:spacing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наличием технического обслуживающего персонала, отвечающего за поддержание в готовности технических средств оповещения, и уровнем его профессиональной подготовки;</w:t>
      </w:r>
    </w:p>
    <w:p w:rsidR="00617BFA" w:rsidRPr="00617BFA" w:rsidRDefault="00617BFA" w:rsidP="00617BFA">
      <w:pPr>
        <w:numPr>
          <w:ilvl w:val="0"/>
          <w:numId w:val="28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наличием, исправностью и соответствием проектно-сметной документации на систему оповещения населения технических средств оповещения;</w:t>
      </w:r>
    </w:p>
    <w:p w:rsidR="00617BFA" w:rsidRPr="00617BFA" w:rsidRDefault="00617BFA" w:rsidP="00617BFA">
      <w:pPr>
        <w:numPr>
          <w:ilvl w:val="0"/>
          <w:numId w:val="28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готовностью сетей связи операторов связи;</w:t>
      </w:r>
    </w:p>
    <w:p w:rsidR="00617BFA" w:rsidRPr="00617BFA" w:rsidRDefault="00617BFA" w:rsidP="00617BFA">
      <w:pPr>
        <w:numPr>
          <w:ilvl w:val="0"/>
          <w:numId w:val="28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регулярным проведением проверок готовности систем оповещения населения;</w:t>
      </w:r>
    </w:p>
    <w:p w:rsidR="00617BFA" w:rsidRPr="00617BFA" w:rsidRDefault="00617BFA" w:rsidP="00617BFA">
      <w:pPr>
        <w:numPr>
          <w:ilvl w:val="0"/>
          <w:numId w:val="28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своевременным эксплуатационно-техническим обслуживанием, ремонтом неисправных и заменой выслуживших установленный эксплуатационный ресурс технических средств оповещения;</w:t>
      </w:r>
    </w:p>
    <w:p w:rsidR="00617BFA" w:rsidRPr="00617BFA" w:rsidRDefault="00617BFA" w:rsidP="00617BFA">
      <w:pPr>
        <w:numPr>
          <w:ilvl w:val="0"/>
          <w:numId w:val="28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наличием, соответствием законодательству Российской Федерации и обеспечением готовности к использованию резервов средств оповещения;</w:t>
      </w:r>
    </w:p>
    <w:p w:rsidR="00617BFA" w:rsidRPr="00617BFA" w:rsidRDefault="00617BFA" w:rsidP="00617BFA">
      <w:pPr>
        <w:numPr>
          <w:ilvl w:val="0"/>
          <w:numId w:val="28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lastRenderedPageBreak/>
        <w:t>своевременным проведением мероприятий по созданию, в том числе совершенствованию, систем оповещения населения.</w:t>
      </w:r>
    </w:p>
    <w:p w:rsidR="00617BFA" w:rsidRPr="00617BFA" w:rsidRDefault="00617BFA" w:rsidP="00617BFA">
      <w:pPr>
        <w:ind w:left="331"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617BFA">
        <w:rPr>
          <w:sz w:val="28"/>
          <w:szCs w:val="28"/>
        </w:rPr>
        <w:t>4.3. С целью контроля за поддержанием в готовности систем оповещения населения организуются и проводятся следующие виды проверок:</w:t>
      </w:r>
    </w:p>
    <w:p w:rsidR="00617BFA" w:rsidRPr="00617BFA" w:rsidRDefault="00617BFA" w:rsidP="00617BFA">
      <w:pPr>
        <w:numPr>
          <w:ilvl w:val="0"/>
          <w:numId w:val="28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комплексные проверки готовности систем оповещения населения с включением оконечных средств оповещения и доведением проверочных сигналов и информации до населения;</w:t>
      </w:r>
    </w:p>
    <w:p w:rsidR="00617BFA" w:rsidRPr="00617BFA" w:rsidRDefault="00617BFA" w:rsidP="00617BFA">
      <w:pPr>
        <w:numPr>
          <w:ilvl w:val="0"/>
          <w:numId w:val="28"/>
        </w:numPr>
        <w:spacing w:after="5" w:line="252" w:lineRule="auto"/>
        <w:ind w:right="21" w:firstLine="703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технические проверки готовности к задействованию систем оповещения населения без включения оконечных средств оповещения населения.</w:t>
      </w:r>
    </w:p>
    <w:p w:rsidR="00617BFA" w:rsidRPr="00617BFA" w:rsidRDefault="00617BFA" w:rsidP="00617BFA">
      <w:pPr>
        <w:ind w:left="331" w:right="21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При проведении комплексной проверки готовности систем оповещения населения проверке подлежат муниципальная система оповещения и КСЭОН.</w:t>
      </w:r>
    </w:p>
    <w:p w:rsidR="00617BFA" w:rsidRPr="00617BFA" w:rsidRDefault="00617BFA" w:rsidP="00617BFA">
      <w:pPr>
        <w:ind w:left="331" w:right="21" w:firstLine="518"/>
        <w:jc w:val="both"/>
        <w:rPr>
          <w:sz w:val="28"/>
          <w:szCs w:val="28"/>
        </w:rPr>
      </w:pPr>
      <w:r w:rsidRPr="00617BFA">
        <w:rPr>
          <w:b/>
          <w:noProof/>
          <w:sz w:val="28"/>
        </w:rPr>
        <w:drawing>
          <wp:anchor distT="0" distB="0" distL="114300" distR="114300" simplePos="0" relativeHeight="251661312" behindDoc="0" locked="0" layoutInCell="1" allowOverlap="0" wp14:anchorId="2938EE28" wp14:editId="63391FAF">
            <wp:simplePos x="0" y="0"/>
            <wp:positionH relativeFrom="column">
              <wp:posOffset>292735</wp:posOffset>
            </wp:positionH>
            <wp:positionV relativeFrom="paragraph">
              <wp:posOffset>125095</wp:posOffset>
            </wp:positionV>
            <wp:extent cx="45720" cy="27305"/>
            <wp:effectExtent l="0" t="0" r="0" b="0"/>
            <wp:wrapSquare wrapText="bothSides"/>
            <wp:docPr id="26" name="Picture 25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BFA">
        <w:rPr>
          <w:sz w:val="28"/>
          <w:szCs w:val="28"/>
        </w:rPr>
        <w:t>Комплексные проверки готовности муниципальной системы оповещения и КСЭОН проводятся два раза в год комиссией в составе представителей постоянно действующего органа управления звеном ТСЧС, ЕДДС, а также представителей операторов связи, при этом включение оконечных средств оповещения и доведение проверочных сигналов и информации до населения осуществляется в дневное время в первую среду марта и октября.</w:t>
      </w:r>
    </w:p>
    <w:p w:rsidR="00617BFA" w:rsidRPr="00617BFA" w:rsidRDefault="00617BFA" w:rsidP="00617BFA">
      <w:pPr>
        <w:ind w:left="331" w:right="21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По решению Комиссии по предупреждению и ликвидации чрезвычайных ситуаций и обеспечению пожарной безопасности Мамадышского муниципального района могут проводиться дополнительные комплексные проверки готовности муниципальной системы оповещения и КСЭОН.</w:t>
      </w:r>
    </w:p>
    <w:p w:rsidR="00617BFA" w:rsidRPr="00617BFA" w:rsidRDefault="00617BFA" w:rsidP="00617BFA">
      <w:pPr>
        <w:ind w:left="331" w:right="21"/>
        <w:jc w:val="both"/>
        <w:rPr>
          <w:sz w:val="28"/>
          <w:szCs w:val="28"/>
        </w:rPr>
      </w:pPr>
      <w:r w:rsidRPr="00617BFA">
        <w:rPr>
          <w:b/>
          <w:noProof/>
          <w:sz w:val="28"/>
        </w:rPr>
        <w:drawing>
          <wp:anchor distT="0" distB="0" distL="114300" distR="114300" simplePos="0" relativeHeight="251662336" behindDoc="0" locked="0" layoutInCell="1" allowOverlap="0" wp14:anchorId="0815301A" wp14:editId="2A9F0417">
            <wp:simplePos x="0" y="0"/>
            <wp:positionH relativeFrom="column">
              <wp:posOffset>191770</wp:posOffset>
            </wp:positionH>
            <wp:positionV relativeFrom="paragraph">
              <wp:posOffset>335280</wp:posOffset>
            </wp:positionV>
            <wp:extent cx="8890" cy="8890"/>
            <wp:effectExtent l="0" t="0" r="0" b="0"/>
            <wp:wrapSquare wrapText="bothSides"/>
            <wp:docPr id="27" name="Picture 14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BFA">
        <w:rPr>
          <w:sz w:val="28"/>
          <w:szCs w:val="28"/>
        </w:rPr>
        <w:t>По результатам комплексной проверки готовности муниципальной системы оповещения населения оформляется акт, в котором отражаются проверенные вопросы, выявленные недостатки, предложения по их своевременному устранению и оценка готовности муниципальной системы оповещения населения, определяемая в соответствии с требованиями приказа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 июля 2020 года № 578/365 «Об утверждении Положения о системах оповещения населения», а также уточняется паспорт системы оповещения населения.</w:t>
      </w:r>
    </w:p>
    <w:p w:rsidR="00617BFA" w:rsidRPr="00617BFA" w:rsidRDefault="00617BFA" w:rsidP="00617BFA">
      <w:pPr>
        <w:spacing w:after="62"/>
        <w:ind w:left="331" w:right="21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Технические проверки готовности к задействованию муниципальной системы оповещения и КСЭОН проводятся без включения оконечных средств оповещения дежурными ЕДДС путем передачи проверочного сигнала и речевого сообщения «Техническая проверка» с периодичностью не реже одного раза в сутки.</w:t>
      </w:r>
    </w:p>
    <w:p w:rsidR="00617BFA" w:rsidRPr="00617BFA" w:rsidRDefault="00617BFA" w:rsidP="00617BFA">
      <w:pPr>
        <w:spacing w:after="14" w:line="252" w:lineRule="auto"/>
        <w:ind w:left="10" w:right="35"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617BFA">
        <w:rPr>
          <w:sz w:val="28"/>
          <w:szCs w:val="28"/>
        </w:rPr>
        <w:t>Перед проведением всех проверок в обязательном порядке проводится ком-</w:t>
      </w:r>
    </w:p>
    <w:p w:rsidR="00617BFA" w:rsidRPr="00617BFA" w:rsidRDefault="00617BFA" w:rsidP="00617BFA">
      <w:pPr>
        <w:ind w:left="331" w:right="21" w:firstLine="7"/>
        <w:jc w:val="both"/>
        <w:rPr>
          <w:sz w:val="28"/>
          <w:szCs w:val="28"/>
        </w:rPr>
      </w:pPr>
      <w:r w:rsidRPr="00617BFA">
        <w:rPr>
          <w:sz w:val="28"/>
          <w:szCs w:val="28"/>
        </w:rPr>
        <w:t>плекс организационно-технических мероприятий с целью исключения несанкционированного запуска систем оповещения населения.</w:t>
      </w:r>
    </w:p>
    <w:p w:rsidR="00617BFA" w:rsidRPr="00617BFA" w:rsidRDefault="00617BFA" w:rsidP="00617BFA">
      <w:pPr>
        <w:ind w:left="331"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17BFA">
        <w:rPr>
          <w:sz w:val="28"/>
          <w:szCs w:val="28"/>
        </w:rPr>
        <w:t>4.4. Для обеспечения оповещения максимального количества людей, попавших в зону чрезвычайной ситуации, в том числе на территориях, неохваченных автоматизированными системами централизованного оповещения, создается резерв технических средств оповещения (стационарных и мобильных).</w:t>
      </w:r>
    </w:p>
    <w:p w:rsidR="00617BFA" w:rsidRPr="00617BFA" w:rsidRDefault="00617BFA" w:rsidP="00617BFA">
      <w:pPr>
        <w:ind w:left="331" w:right="21"/>
        <w:jc w:val="both"/>
        <w:rPr>
          <w:sz w:val="28"/>
          <w:szCs w:val="28"/>
        </w:rPr>
      </w:pPr>
      <w:r w:rsidRPr="00617BFA">
        <w:rPr>
          <w:sz w:val="28"/>
          <w:szCs w:val="28"/>
        </w:rPr>
        <w:lastRenderedPageBreak/>
        <w:t>Номенклатура, объем, порядок создания и использования резерва технических средств оповещения устанавливаются исполнительным комитетом муниципального района округа.</w:t>
      </w:r>
    </w:p>
    <w:p w:rsidR="00617BFA" w:rsidRPr="00617BFA" w:rsidRDefault="00617BFA" w:rsidP="00617BFA">
      <w:pPr>
        <w:ind w:left="331"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17BFA">
        <w:rPr>
          <w:sz w:val="28"/>
          <w:szCs w:val="28"/>
        </w:rPr>
        <w:t>4.5. Требования к системам оповещения населения, в том числе к комплексной системе экстренного оповещения населения, определенные приказом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 коммуникаций Российской Федерации от 31 июля 2020 года № 578/365 «Об утверждении Положения о системах оповещения населения», должны быть выполнены в ходе планирования и строительства новой либо совершенствования действующей системы оповещения населения.</w:t>
      </w:r>
    </w:p>
    <w:p w:rsidR="00617BFA" w:rsidRPr="00617BFA" w:rsidRDefault="00617BFA" w:rsidP="00617BFA">
      <w:pPr>
        <w:spacing w:after="498"/>
        <w:ind w:left="331" w:right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17BFA">
        <w:rPr>
          <w:sz w:val="28"/>
          <w:szCs w:val="28"/>
        </w:rPr>
        <w:t>Вывод из эксплуатации действующей системы оповещения населения осуществляется по окончании эксплуатационного ресурса технических средств этой системы оповещения населения, завершении ее модернизации (реконструкции) и ввода в эксплуатацию новой системы оповещения населения.</w:t>
      </w:r>
    </w:p>
    <w:p w:rsidR="00617BFA" w:rsidRPr="00617BFA" w:rsidRDefault="00617BFA" w:rsidP="00617BFA">
      <w:pPr>
        <w:jc w:val="center"/>
        <w:rPr>
          <w:sz w:val="28"/>
          <w:szCs w:val="28"/>
        </w:rPr>
      </w:pPr>
    </w:p>
    <w:p w:rsidR="00617BFA" w:rsidRPr="00617BFA" w:rsidRDefault="009A54B1" w:rsidP="00617BFA">
      <w:pPr>
        <w:rPr>
          <w:sz w:val="28"/>
          <w:szCs w:val="28"/>
        </w:rPr>
      </w:pPr>
      <w:r>
        <w:rPr>
          <w:sz w:val="28"/>
          <w:szCs w:val="28"/>
        </w:rPr>
        <w:t xml:space="preserve">      Заместитель  руководителя                                                             Р.М.Никифоров</w:t>
      </w:r>
    </w:p>
    <w:p w:rsidR="00617BFA" w:rsidRPr="00617BFA" w:rsidRDefault="00617BFA" w:rsidP="00617BFA">
      <w:pPr>
        <w:ind w:right="-1"/>
        <w:jc w:val="right"/>
        <w:rPr>
          <w:sz w:val="24"/>
          <w:szCs w:val="24"/>
        </w:rPr>
      </w:pPr>
    </w:p>
    <w:p w:rsidR="00617BFA" w:rsidRPr="00617BFA" w:rsidRDefault="00617BFA" w:rsidP="00617BFA">
      <w:pPr>
        <w:ind w:right="-1"/>
        <w:jc w:val="right"/>
        <w:rPr>
          <w:sz w:val="24"/>
          <w:szCs w:val="24"/>
        </w:rPr>
      </w:pPr>
    </w:p>
    <w:p w:rsidR="00617BFA" w:rsidRPr="00617BFA" w:rsidRDefault="00617BFA" w:rsidP="00617BFA">
      <w:pPr>
        <w:jc w:val="right"/>
        <w:rPr>
          <w:sz w:val="28"/>
          <w:szCs w:val="28"/>
        </w:rPr>
      </w:pPr>
    </w:p>
    <w:p w:rsidR="00617BFA" w:rsidRPr="00617BFA" w:rsidRDefault="00617BFA" w:rsidP="00617BFA">
      <w:pPr>
        <w:jc w:val="center"/>
        <w:rPr>
          <w:rFonts w:ascii="Times New Roman CYR" w:hAnsi="Times New Roman CYR"/>
          <w:sz w:val="28"/>
          <w:szCs w:val="24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617BFA" w:rsidRPr="00617BFA" w:rsidRDefault="00617BFA" w:rsidP="00617BFA">
      <w:pPr>
        <w:widowControl w:val="0"/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396A18" w:rsidSect="00617BFA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FC1" w:rsidRDefault="001D3FC1">
      <w:r>
        <w:separator/>
      </w:r>
    </w:p>
  </w:endnote>
  <w:endnote w:type="continuationSeparator" w:id="0">
    <w:p w:rsidR="001D3FC1" w:rsidRDefault="001D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FC1" w:rsidRDefault="001D3FC1">
      <w:r>
        <w:separator/>
      </w:r>
    </w:p>
  </w:footnote>
  <w:footnote w:type="continuationSeparator" w:id="0">
    <w:p w:rsidR="001D3FC1" w:rsidRDefault="001D3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D47D50"/>
    <w:multiLevelType w:val="multilevel"/>
    <w:tmpl w:val="7F28A870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3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26371B2"/>
    <w:multiLevelType w:val="hybridMultilevel"/>
    <w:tmpl w:val="865041DE"/>
    <w:lvl w:ilvl="0" w:tplc="ADCC2100">
      <w:start w:val="1"/>
      <w:numFmt w:val="decimal"/>
      <w:lvlText w:val="%1."/>
      <w:lvlJc w:val="left"/>
      <w:pPr>
        <w:ind w:left="1433" w:hanging="360"/>
      </w:pPr>
    </w:lvl>
    <w:lvl w:ilvl="1" w:tplc="04190019">
      <w:start w:val="1"/>
      <w:numFmt w:val="lowerLetter"/>
      <w:lvlText w:val="%2."/>
      <w:lvlJc w:val="left"/>
      <w:pPr>
        <w:ind w:left="2153" w:hanging="360"/>
      </w:pPr>
    </w:lvl>
    <w:lvl w:ilvl="2" w:tplc="0419001B">
      <w:start w:val="1"/>
      <w:numFmt w:val="lowerRoman"/>
      <w:lvlText w:val="%3."/>
      <w:lvlJc w:val="right"/>
      <w:pPr>
        <w:ind w:left="2873" w:hanging="180"/>
      </w:pPr>
    </w:lvl>
    <w:lvl w:ilvl="3" w:tplc="0419000F">
      <w:start w:val="1"/>
      <w:numFmt w:val="decimal"/>
      <w:lvlText w:val="%4."/>
      <w:lvlJc w:val="left"/>
      <w:pPr>
        <w:ind w:left="3593" w:hanging="360"/>
      </w:pPr>
    </w:lvl>
    <w:lvl w:ilvl="4" w:tplc="04190019">
      <w:start w:val="1"/>
      <w:numFmt w:val="lowerLetter"/>
      <w:lvlText w:val="%5."/>
      <w:lvlJc w:val="left"/>
      <w:pPr>
        <w:ind w:left="4313" w:hanging="360"/>
      </w:pPr>
    </w:lvl>
    <w:lvl w:ilvl="5" w:tplc="0419001B">
      <w:start w:val="1"/>
      <w:numFmt w:val="lowerRoman"/>
      <w:lvlText w:val="%6."/>
      <w:lvlJc w:val="right"/>
      <w:pPr>
        <w:ind w:left="5033" w:hanging="180"/>
      </w:pPr>
    </w:lvl>
    <w:lvl w:ilvl="6" w:tplc="0419000F">
      <w:start w:val="1"/>
      <w:numFmt w:val="decimal"/>
      <w:lvlText w:val="%7."/>
      <w:lvlJc w:val="left"/>
      <w:pPr>
        <w:ind w:left="5753" w:hanging="360"/>
      </w:pPr>
    </w:lvl>
    <w:lvl w:ilvl="7" w:tplc="04190019">
      <w:start w:val="1"/>
      <w:numFmt w:val="lowerLetter"/>
      <w:lvlText w:val="%8."/>
      <w:lvlJc w:val="left"/>
      <w:pPr>
        <w:ind w:left="6473" w:hanging="360"/>
      </w:pPr>
    </w:lvl>
    <w:lvl w:ilvl="8" w:tplc="0419001B">
      <w:start w:val="1"/>
      <w:numFmt w:val="lowerRoman"/>
      <w:lvlText w:val="%9."/>
      <w:lvlJc w:val="right"/>
      <w:pPr>
        <w:ind w:left="7193" w:hanging="180"/>
      </w:pPr>
    </w:lvl>
  </w:abstractNum>
  <w:abstractNum w:abstractNumId="10" w15:restartNumberingAfterBreak="0">
    <w:nsid w:val="261411DA"/>
    <w:multiLevelType w:val="multilevel"/>
    <w:tmpl w:val="FA2E591C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C3D2660"/>
    <w:multiLevelType w:val="hybridMultilevel"/>
    <w:tmpl w:val="C73869D6"/>
    <w:lvl w:ilvl="0" w:tplc="D092FF92">
      <w:start w:val="2"/>
      <w:numFmt w:val="decimal"/>
      <w:lvlText w:val="%1."/>
      <w:lvlJc w:val="left"/>
      <w:pPr>
        <w:ind w:left="10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26F28B14">
      <w:start w:val="1"/>
      <w:numFmt w:val="lowerLetter"/>
      <w:lvlText w:val="%2"/>
      <w:lvlJc w:val="left"/>
      <w:pPr>
        <w:ind w:left="22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0456D016">
      <w:start w:val="1"/>
      <w:numFmt w:val="lowerRoman"/>
      <w:lvlText w:val="%3"/>
      <w:lvlJc w:val="left"/>
      <w:pPr>
        <w:ind w:left="30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1341292">
      <w:start w:val="1"/>
      <w:numFmt w:val="decimal"/>
      <w:lvlText w:val="%4"/>
      <w:lvlJc w:val="left"/>
      <w:pPr>
        <w:ind w:left="37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DDB4E5F4">
      <w:start w:val="1"/>
      <w:numFmt w:val="lowerLetter"/>
      <w:lvlText w:val="%5"/>
      <w:lvlJc w:val="left"/>
      <w:pPr>
        <w:ind w:left="44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69A43BCC">
      <w:start w:val="1"/>
      <w:numFmt w:val="lowerRoman"/>
      <w:lvlText w:val="%6"/>
      <w:lvlJc w:val="left"/>
      <w:pPr>
        <w:ind w:left="51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64AC8D38">
      <w:start w:val="1"/>
      <w:numFmt w:val="decimal"/>
      <w:lvlText w:val="%7"/>
      <w:lvlJc w:val="left"/>
      <w:pPr>
        <w:ind w:left="58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115C7ACC">
      <w:start w:val="1"/>
      <w:numFmt w:val="lowerLetter"/>
      <w:lvlText w:val="%8"/>
      <w:lvlJc w:val="left"/>
      <w:pPr>
        <w:ind w:left="66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775A28E8">
      <w:start w:val="1"/>
      <w:numFmt w:val="lowerRoman"/>
      <w:lvlText w:val="%9"/>
      <w:lvlJc w:val="left"/>
      <w:pPr>
        <w:ind w:left="73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21EA2"/>
    <w:multiLevelType w:val="multilevel"/>
    <w:tmpl w:val="B5A03AAA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16B02"/>
    <w:multiLevelType w:val="multilevel"/>
    <w:tmpl w:val="F2543224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9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57E53F46"/>
    <w:multiLevelType w:val="hybridMultilevel"/>
    <w:tmpl w:val="424E194A"/>
    <w:lvl w:ilvl="0" w:tplc="ABA2F342">
      <w:start w:val="1"/>
      <w:numFmt w:val="bullet"/>
      <w:lvlText w:val="-"/>
      <w:lvlJc w:val="left"/>
      <w:pPr>
        <w:ind w:left="3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93668BC">
      <w:start w:val="1"/>
      <w:numFmt w:val="bullet"/>
      <w:lvlText w:val="o"/>
      <w:lvlJc w:val="left"/>
      <w:pPr>
        <w:ind w:left="1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9AC3B38">
      <w:start w:val="1"/>
      <w:numFmt w:val="bullet"/>
      <w:lvlText w:val="▪"/>
      <w:lvlJc w:val="left"/>
      <w:pPr>
        <w:ind w:left="25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F148B30">
      <w:start w:val="1"/>
      <w:numFmt w:val="bullet"/>
      <w:lvlText w:val="•"/>
      <w:lvlJc w:val="left"/>
      <w:pPr>
        <w:ind w:left="32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90C5EB8">
      <w:start w:val="1"/>
      <w:numFmt w:val="bullet"/>
      <w:lvlText w:val="o"/>
      <w:lvlJc w:val="left"/>
      <w:pPr>
        <w:ind w:left="39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7D65976">
      <w:start w:val="1"/>
      <w:numFmt w:val="bullet"/>
      <w:lvlText w:val="▪"/>
      <w:lvlJc w:val="left"/>
      <w:pPr>
        <w:ind w:left="46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B2E00C">
      <w:start w:val="1"/>
      <w:numFmt w:val="bullet"/>
      <w:lvlText w:val="•"/>
      <w:lvlJc w:val="left"/>
      <w:pPr>
        <w:ind w:left="54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792BB20">
      <w:start w:val="1"/>
      <w:numFmt w:val="bullet"/>
      <w:lvlText w:val="o"/>
      <w:lvlJc w:val="left"/>
      <w:pPr>
        <w:ind w:left="61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61833F6">
      <w:start w:val="1"/>
      <w:numFmt w:val="bullet"/>
      <w:lvlText w:val="▪"/>
      <w:lvlJc w:val="left"/>
      <w:pPr>
        <w:ind w:left="68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065FA"/>
    <w:multiLevelType w:val="multilevel"/>
    <w:tmpl w:val="D90890D4"/>
    <w:lvl w:ilvl="0">
      <w:start w:val="4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A88740B"/>
    <w:multiLevelType w:val="multilevel"/>
    <w:tmpl w:val="503A2C6C"/>
    <w:lvl w:ilvl="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3"/>
  </w:num>
  <w:num w:numId="3">
    <w:abstractNumId w:val="2"/>
  </w:num>
  <w:num w:numId="4">
    <w:abstractNumId w:val="24"/>
  </w:num>
  <w:num w:numId="5">
    <w:abstractNumId w:val="28"/>
  </w:num>
  <w:num w:numId="6">
    <w:abstractNumId w:val="22"/>
  </w:num>
  <w:num w:numId="7">
    <w:abstractNumId w:val="3"/>
  </w:num>
  <w:num w:numId="8">
    <w:abstractNumId w:val="20"/>
  </w:num>
  <w:num w:numId="9">
    <w:abstractNumId w:val="6"/>
  </w:num>
  <w:num w:numId="10">
    <w:abstractNumId w:val="14"/>
  </w:num>
  <w:num w:numId="11">
    <w:abstractNumId w:val="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7"/>
  </w:num>
  <w:num w:numId="18">
    <w:abstractNumId w:val="1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0"/>
  </w:num>
  <w:num w:numId="22">
    <w:abstractNumId w:val="7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8205D"/>
    <w:rsid w:val="00194AFD"/>
    <w:rsid w:val="001A4321"/>
    <w:rsid w:val="001B41FB"/>
    <w:rsid w:val="001B4C2F"/>
    <w:rsid w:val="001B5F1C"/>
    <w:rsid w:val="001C5938"/>
    <w:rsid w:val="001D3FC1"/>
    <w:rsid w:val="001F1594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69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17BF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A54B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415B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4DA6"/>
    <w:rsid w:val="00B52763"/>
    <w:rsid w:val="00B53AC4"/>
    <w:rsid w:val="00B53DB7"/>
    <w:rsid w:val="00B65C16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C301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744EABA-504E-4B83-8082-BA162C2F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2935</Words>
  <Characters>16733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2021-11-24T11:38:00Z</cp:lastPrinted>
  <dcterms:created xsi:type="dcterms:W3CDTF">2021-11-24T11:49:00Z</dcterms:created>
  <dcterms:modified xsi:type="dcterms:W3CDTF">2021-11-26T07:10:00Z</dcterms:modified>
</cp:coreProperties>
</file>