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C11C7" w:rsidP="00107FC2">
            <w:pPr>
              <w:rPr>
                <w:sz w:val="28"/>
              </w:rPr>
            </w:pPr>
            <w:r>
              <w:rPr>
                <w:sz w:val="28"/>
              </w:rPr>
              <w:t>№ 66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C11C7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«18 »    02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131DA6" w:rsidRDefault="00131DA6" w:rsidP="00567E06">
      <w:pPr>
        <w:spacing w:before="100" w:beforeAutospacing="1" w:after="240"/>
        <w:contextualSpacing/>
        <w:jc w:val="both"/>
        <w:rPr>
          <w:sz w:val="28"/>
          <w:szCs w:val="28"/>
        </w:rPr>
      </w:pPr>
    </w:p>
    <w:p w:rsidR="00131DA6" w:rsidRDefault="00131DA6" w:rsidP="00131DA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внесении   изменений   в    постановление</w:t>
      </w:r>
    </w:p>
    <w:p w:rsidR="00567E06" w:rsidRDefault="00131DA6" w:rsidP="00131DA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Мамадышского</w:t>
      </w:r>
    </w:p>
    <w:p w:rsidR="00567E06" w:rsidRDefault="00567E06" w:rsidP="00131DA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131DA6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 </w:t>
      </w:r>
      <w:r w:rsidR="00131DA6">
        <w:rPr>
          <w:sz w:val="28"/>
          <w:szCs w:val="28"/>
        </w:rPr>
        <w:t>района   Республики</w:t>
      </w:r>
    </w:p>
    <w:p w:rsidR="00131DA6" w:rsidRDefault="00131DA6" w:rsidP="00131DA6">
      <w:pPr>
        <w:spacing w:before="100" w:beforeAutospacing="1" w:after="2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Татарстан от 26.10.2020</w:t>
      </w:r>
      <w:r w:rsidR="00567E06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567E06">
        <w:rPr>
          <w:sz w:val="28"/>
          <w:szCs w:val="28"/>
        </w:rPr>
        <w:t xml:space="preserve"> </w:t>
      </w:r>
      <w:r>
        <w:rPr>
          <w:sz w:val="28"/>
          <w:szCs w:val="28"/>
        </w:rPr>
        <w:t>364</w:t>
      </w:r>
    </w:p>
    <w:p w:rsidR="00131DA6" w:rsidRDefault="00131DA6" w:rsidP="00131DA6">
      <w:pPr>
        <w:spacing w:before="100" w:beforeAutospacing="1" w:after="240"/>
        <w:ind w:firstLine="480"/>
        <w:contextualSpacing/>
        <w:jc w:val="both"/>
        <w:rPr>
          <w:sz w:val="28"/>
          <w:szCs w:val="28"/>
        </w:rPr>
      </w:pPr>
    </w:p>
    <w:p w:rsidR="00131DA6" w:rsidRDefault="00131DA6" w:rsidP="00131DA6">
      <w:pPr>
        <w:spacing w:before="100" w:beforeAutospacing="1" w:after="240"/>
        <w:ind w:firstLine="480"/>
        <w:contextualSpacing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Pr="00131DA6">
        <w:rPr>
          <w:color w:val="000000" w:themeColor="text1"/>
          <w:sz w:val="28"/>
          <w:szCs w:val="28"/>
        </w:rPr>
        <w:t xml:space="preserve">В соответствии с </w:t>
      </w:r>
      <w:hyperlink r:id="rId10" w:history="1">
        <w:r w:rsidRPr="00131DA6">
          <w:rPr>
            <w:rStyle w:val="ac"/>
            <w:color w:val="000000" w:themeColor="text1"/>
            <w:sz w:val="28"/>
            <w:szCs w:val="28"/>
            <w:u w:val="none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131DA6">
        <w:rPr>
          <w:color w:val="000000" w:themeColor="text1"/>
          <w:sz w:val="28"/>
          <w:szCs w:val="28"/>
        </w:rPr>
        <w:t xml:space="preserve">, со </w:t>
      </w:r>
      <w:hyperlink r:id="rId11" w:history="1">
        <w:r w:rsidRPr="00131DA6">
          <w:rPr>
            <w:rStyle w:val="ac"/>
            <w:color w:val="000000" w:themeColor="text1"/>
            <w:sz w:val="28"/>
            <w:szCs w:val="28"/>
            <w:u w:val="none"/>
          </w:rPr>
          <w:t>статьей 78 Бюджетного кодекса Российской Федерации</w:t>
        </w:r>
      </w:hyperlink>
      <w:r>
        <w:rPr>
          <w:sz w:val="28"/>
          <w:szCs w:val="28"/>
        </w:rPr>
        <w:t>,  Уставом Мамадышского муниципального района, Исполнительный комитет Мамадышского муниципального района Республики Татарстан  п о с т а н о в л я е т:</w:t>
      </w:r>
    </w:p>
    <w:p w:rsidR="00131DA6" w:rsidRPr="00131DA6" w:rsidRDefault="00131DA6" w:rsidP="00131DA6">
      <w:pPr>
        <w:spacing w:before="100" w:beforeAutospacing="1" w:after="240"/>
        <w:ind w:firstLine="480"/>
        <w:contextualSpacing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1. В абзаце 1 постановления Исполнительного комитета Мамадышского  муниципального района Республики Татарстан от 26.10.2020</w:t>
      </w:r>
      <w:r w:rsidR="00567E06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567E06">
        <w:rPr>
          <w:sz w:val="28"/>
          <w:szCs w:val="28"/>
        </w:rPr>
        <w:t xml:space="preserve"> </w:t>
      </w:r>
      <w:r>
        <w:rPr>
          <w:sz w:val="28"/>
          <w:szCs w:val="28"/>
        </w:rPr>
        <w:t>364  и в пункте 1.1. Порядка предоставления из бюджета Мамадышского муниципального района Республики Татарстан субсидий организациям в целях возмещения недополученных доходов, связанных с обеспечением равной доступности услуг общественного транспорта от перевозки отдельных категорий граждан по электронным единым именным социальным проездным билетам (льготная транспортная карта) на территории Мамадышского муниципально</w:t>
      </w:r>
      <w:r w:rsidR="00567E06">
        <w:rPr>
          <w:sz w:val="28"/>
          <w:szCs w:val="28"/>
        </w:rPr>
        <w:t xml:space="preserve">го района Республики Татарстан, </w:t>
      </w:r>
      <w:r>
        <w:rPr>
          <w:sz w:val="28"/>
          <w:szCs w:val="28"/>
        </w:rPr>
        <w:t>утвержденной постановлением Исполнительного комитета Мамадышского  муниципального района Республики Татарстан от 26.10.2020</w:t>
      </w:r>
      <w:r w:rsidR="00567E06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567E06">
        <w:rPr>
          <w:sz w:val="28"/>
          <w:szCs w:val="28"/>
        </w:rPr>
        <w:t xml:space="preserve"> </w:t>
      </w:r>
      <w:r>
        <w:rPr>
          <w:sz w:val="28"/>
          <w:szCs w:val="28"/>
        </w:rPr>
        <w:t>364   исключить  слова «</w:t>
      </w:r>
      <w:hyperlink r:id="rId12" w:history="1">
        <w:r w:rsidRPr="00131DA6">
          <w:rPr>
            <w:rStyle w:val="ac"/>
            <w:color w:val="000000" w:themeColor="text1"/>
            <w:sz w:val="28"/>
            <w:szCs w:val="28"/>
            <w:u w:val="none"/>
          </w:rPr>
          <w:t>Постановлением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</w:t>
        </w:r>
      </w:hyperlink>
      <w:r w:rsidRPr="00131DA6">
        <w:rPr>
          <w:color w:val="000000" w:themeColor="text1"/>
          <w:sz w:val="28"/>
          <w:szCs w:val="28"/>
        </w:rPr>
        <w:t>».</w:t>
      </w:r>
    </w:p>
    <w:p w:rsidR="00131DA6" w:rsidRDefault="00131DA6" w:rsidP="00131DA6">
      <w:pPr>
        <w:spacing w:before="100" w:beforeAutospacing="1" w:after="24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Разместить настоящее постановление на сайте Мамадышского муниципального района http://www.mamadysh.tatarstan.ru и на официальном портале правовой информации Республики Татарстан (http:pravo.tatarstan.ru).</w:t>
      </w:r>
    </w:p>
    <w:p w:rsidR="00131DA6" w:rsidRDefault="007B41D4" w:rsidP="00131DA6">
      <w:pPr>
        <w:spacing w:before="100" w:beforeAutospacing="1" w:after="240"/>
        <w:ind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31DA6">
        <w:rPr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Мамадышского муниципального района Никитина В.И.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697"/>
        <w:gridCol w:w="5367"/>
      </w:tblGrid>
      <w:tr w:rsidR="00131DA6" w:rsidTr="00131DA6">
        <w:trPr>
          <w:trHeight w:val="15"/>
          <w:tblCellSpacing w:w="15" w:type="dxa"/>
        </w:trPr>
        <w:tc>
          <w:tcPr>
            <w:tcW w:w="45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DA6" w:rsidRDefault="00131DA6">
            <w:pPr>
              <w:rPr>
                <w:sz w:val="28"/>
                <w:szCs w:val="28"/>
              </w:rPr>
            </w:pPr>
          </w:p>
        </w:tc>
        <w:tc>
          <w:tcPr>
            <w:tcW w:w="46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31DA6" w:rsidRDefault="00131DA6"/>
        </w:tc>
      </w:tr>
      <w:tr w:rsidR="00131DA6" w:rsidTr="00131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DA6" w:rsidRDefault="00131DA6" w:rsidP="007B41D4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Руководитель                                                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31DA6" w:rsidRDefault="00131DA6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="00567E06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И.М.Дарземанов </w:t>
            </w:r>
          </w:p>
        </w:tc>
      </w:tr>
      <w:tr w:rsidR="007B41D4" w:rsidTr="00131DA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41D4" w:rsidRDefault="007B41D4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41D4" w:rsidRDefault="007B41D4">
            <w:pPr>
              <w:spacing w:before="100" w:beforeAutospacing="1" w:after="100" w:afterAutospacing="1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692E49" w:rsidRDefault="00692E49" w:rsidP="00FD7618">
      <w:pPr>
        <w:ind w:right="3401"/>
        <w:rPr>
          <w:sz w:val="28"/>
          <w:szCs w:val="28"/>
        </w:rPr>
      </w:pPr>
      <w:bookmarkStart w:id="0" w:name="_GoBack"/>
      <w:bookmarkEnd w:id="0"/>
    </w:p>
    <w:sectPr w:rsidR="00692E49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B2D" w:rsidRDefault="001C6B2D">
      <w:r>
        <w:separator/>
      </w:r>
    </w:p>
  </w:endnote>
  <w:endnote w:type="continuationSeparator" w:id="0">
    <w:p w:rsidR="001C6B2D" w:rsidRDefault="001C6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B2D" w:rsidRDefault="001C6B2D">
      <w:r>
        <w:separator/>
      </w:r>
    </w:p>
  </w:footnote>
  <w:footnote w:type="continuationSeparator" w:id="0">
    <w:p w:rsidR="001C6B2D" w:rsidRDefault="001C6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1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3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15"/>
  </w:num>
  <w:num w:numId="5">
    <w:abstractNumId w:val="18"/>
  </w:num>
  <w:num w:numId="6">
    <w:abstractNumId w:val="13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7"/>
  </w:num>
  <w:num w:numId="18">
    <w:abstractNumId w:val="1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1C6B2D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355B1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3B0C"/>
    <w:rsid w:val="00606A63"/>
    <w:rsid w:val="00611A3A"/>
    <w:rsid w:val="00622E5A"/>
    <w:rsid w:val="00635D42"/>
    <w:rsid w:val="006407D5"/>
    <w:rsid w:val="00676AAD"/>
    <w:rsid w:val="00691C1D"/>
    <w:rsid w:val="00692E49"/>
    <w:rsid w:val="00694EED"/>
    <w:rsid w:val="00696A10"/>
    <w:rsid w:val="006B1726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11C7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8779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ADC"/>
    <w:rsid w:val="00EC2AF9"/>
    <w:rsid w:val="00EE65F9"/>
    <w:rsid w:val="00F0125C"/>
    <w:rsid w:val="00F22FF3"/>
    <w:rsid w:val="00F82C9C"/>
    <w:rsid w:val="00F8752E"/>
    <w:rsid w:val="00FA0DC6"/>
    <w:rsid w:val="00FB2C89"/>
    <w:rsid w:val="00FC26DC"/>
    <w:rsid w:val="00FD5C48"/>
    <w:rsid w:val="00FD761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kodeks://link/d?nd=420374330&amp;prevdoc=56712209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01714433&amp;prevdoc=567122096&amp;point=mark=000000000000000000000000000000000000000000000000008OK0L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1876063&amp;prevdoc=567122096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E90A37B-5711-4C3C-BC1E-72E886F0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2021-02-11T06:59:00Z</cp:lastPrinted>
  <dcterms:created xsi:type="dcterms:W3CDTF">2021-02-11T07:00:00Z</dcterms:created>
  <dcterms:modified xsi:type="dcterms:W3CDTF">2021-02-18T11:52:00Z</dcterms:modified>
</cp:coreProperties>
</file>