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97" w:type="dxa"/>
        <w:tblBorders>
          <w:bottom w:val="double" w:sz="6" w:space="0" w:color="auto"/>
        </w:tblBorders>
        <w:tblLayout w:type="fixed"/>
        <w:tblCellMar>
          <w:left w:w="70" w:type="dxa"/>
          <w:right w:w="70" w:type="dxa"/>
        </w:tblCellMar>
        <w:tblLook w:val="00A0" w:firstRow="1" w:lastRow="0" w:firstColumn="1" w:lastColumn="0" w:noHBand="0" w:noVBand="0"/>
      </w:tblPr>
      <w:tblGrid>
        <w:gridCol w:w="4749"/>
        <w:gridCol w:w="1260"/>
        <w:gridCol w:w="228"/>
        <w:gridCol w:w="3828"/>
      </w:tblGrid>
      <w:tr w:rsidR="00336F56" w:rsidTr="002F1908">
        <w:trPr>
          <w:trHeight w:val="1703"/>
        </w:trPr>
        <w:tc>
          <w:tcPr>
            <w:tcW w:w="4749" w:type="dxa"/>
            <w:tcBorders>
              <w:top w:val="nil"/>
              <w:left w:val="nil"/>
              <w:bottom w:val="thickThinSmallGap" w:sz="24" w:space="0" w:color="auto"/>
              <w:right w:val="nil"/>
            </w:tcBorders>
          </w:tcPr>
          <w:p w:rsidR="0092630A" w:rsidRDefault="0092630A" w:rsidP="0092630A">
            <w:pPr>
              <w:ind w:left="-70"/>
              <w:jc w:val="center"/>
              <w:rPr>
                <w:b/>
              </w:rPr>
            </w:pPr>
            <w:r>
              <w:rPr>
                <w:b/>
              </w:rPr>
              <w:t>Муниципальное казенное учреждение КОНТРОЛЬНО-СЧЕТНАЯ ПАЛАТА</w:t>
            </w:r>
          </w:p>
          <w:p w:rsidR="0092630A" w:rsidRDefault="0092630A" w:rsidP="0092630A">
            <w:pPr>
              <w:ind w:left="-70"/>
              <w:jc w:val="center"/>
              <w:rPr>
                <w:b/>
              </w:rPr>
            </w:pPr>
            <w:r>
              <w:rPr>
                <w:b/>
              </w:rPr>
              <w:t xml:space="preserve">Мамадышского муниципального </w:t>
            </w:r>
          </w:p>
          <w:p w:rsidR="0092630A" w:rsidRDefault="0092630A" w:rsidP="0092630A">
            <w:pPr>
              <w:ind w:left="-70"/>
              <w:jc w:val="center"/>
              <w:rPr>
                <w:b/>
              </w:rPr>
            </w:pPr>
            <w:r>
              <w:rPr>
                <w:b/>
              </w:rPr>
              <w:t>района Республики Татарстан</w:t>
            </w:r>
          </w:p>
          <w:p w:rsidR="0092630A" w:rsidRDefault="0092630A" w:rsidP="0092630A">
            <w:pPr>
              <w:pStyle w:val="aa"/>
              <w:ind w:left="-70"/>
              <w:rPr>
                <w:sz w:val="20"/>
              </w:rPr>
            </w:pPr>
            <w:smartTag w:uri="urn:schemas-microsoft-com:office:smarttags" w:element="metricconverter">
              <w:smartTagPr>
                <w:attr w:name="ProductID" w:val="422190, г"/>
              </w:smartTagPr>
              <w:r>
                <w:rPr>
                  <w:sz w:val="20"/>
                </w:rPr>
                <w:t>422190, г</w:t>
              </w:r>
            </w:smartTag>
            <w:r>
              <w:rPr>
                <w:sz w:val="20"/>
              </w:rPr>
              <w:t xml:space="preserve">. Мамадыш, ул. М. </w:t>
            </w:r>
            <w:proofErr w:type="spellStart"/>
            <w:r>
              <w:rPr>
                <w:sz w:val="20"/>
              </w:rPr>
              <w:t>Джалиля</w:t>
            </w:r>
            <w:proofErr w:type="spellEnd"/>
            <w:r>
              <w:rPr>
                <w:sz w:val="20"/>
              </w:rPr>
              <w:t>, 23/33 Тел. Факс: 3-26-19</w:t>
            </w:r>
          </w:p>
          <w:p w:rsidR="00336F56" w:rsidRDefault="00336F56">
            <w:pPr>
              <w:spacing w:line="360" w:lineRule="auto"/>
              <w:ind w:left="638"/>
            </w:pPr>
          </w:p>
        </w:tc>
        <w:tc>
          <w:tcPr>
            <w:tcW w:w="1260" w:type="dxa"/>
            <w:tcBorders>
              <w:top w:val="nil"/>
              <w:left w:val="nil"/>
              <w:bottom w:val="thickThinSmallGap" w:sz="24" w:space="0" w:color="auto"/>
              <w:right w:val="nil"/>
            </w:tcBorders>
          </w:tcPr>
          <w:p w:rsidR="00336F56" w:rsidRDefault="00DE38C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83pt;visibility:visible">
                  <v:imagedata r:id="rId9" o:title=""/>
                </v:shape>
              </w:pict>
            </w:r>
          </w:p>
          <w:p w:rsidR="00336F56" w:rsidRDefault="00336F56">
            <w:pPr>
              <w:jc w:val="center"/>
            </w:pPr>
          </w:p>
        </w:tc>
        <w:tc>
          <w:tcPr>
            <w:tcW w:w="4056" w:type="dxa"/>
            <w:gridSpan w:val="2"/>
            <w:tcBorders>
              <w:top w:val="nil"/>
              <w:left w:val="nil"/>
              <w:bottom w:val="thickThinSmallGap" w:sz="24" w:space="0" w:color="auto"/>
              <w:right w:val="nil"/>
            </w:tcBorders>
          </w:tcPr>
          <w:p w:rsidR="0092630A" w:rsidRDefault="0092630A" w:rsidP="0092630A">
            <w:pPr>
              <w:ind w:left="-70" w:hanging="2"/>
              <w:jc w:val="center"/>
              <w:rPr>
                <w:b/>
              </w:rPr>
            </w:pPr>
            <w:r>
              <w:rPr>
                <w:b/>
              </w:rPr>
              <w:t xml:space="preserve">Татарстан </w:t>
            </w:r>
            <w:proofErr w:type="spellStart"/>
            <w:r>
              <w:rPr>
                <w:b/>
              </w:rPr>
              <w:t>Республикасы</w:t>
            </w:r>
            <w:proofErr w:type="spellEnd"/>
            <w:r>
              <w:rPr>
                <w:b/>
              </w:rPr>
              <w:t xml:space="preserve"> </w:t>
            </w:r>
          </w:p>
          <w:p w:rsidR="0092630A" w:rsidRDefault="0092630A" w:rsidP="0092630A">
            <w:pPr>
              <w:ind w:left="-70" w:hanging="2"/>
              <w:jc w:val="center"/>
              <w:rPr>
                <w:b/>
              </w:rPr>
            </w:pPr>
            <w:r>
              <w:rPr>
                <w:b/>
              </w:rPr>
              <w:t xml:space="preserve">Мамадыш </w:t>
            </w:r>
            <w:proofErr w:type="spellStart"/>
            <w:r>
              <w:rPr>
                <w:b/>
              </w:rPr>
              <w:t>муниципаль</w:t>
            </w:r>
            <w:proofErr w:type="spellEnd"/>
            <w:r>
              <w:rPr>
                <w:b/>
              </w:rPr>
              <w:t xml:space="preserve"> </w:t>
            </w:r>
            <w:proofErr w:type="spellStart"/>
            <w:r>
              <w:rPr>
                <w:b/>
              </w:rPr>
              <w:t>районынын</w:t>
            </w:r>
            <w:proofErr w:type="spellEnd"/>
          </w:p>
          <w:p w:rsidR="0092630A" w:rsidRDefault="0092630A" w:rsidP="0092630A">
            <w:pPr>
              <w:ind w:left="-70" w:hanging="2"/>
              <w:jc w:val="center"/>
              <w:rPr>
                <w:b/>
              </w:rPr>
            </w:pPr>
            <w:r>
              <w:rPr>
                <w:b/>
              </w:rPr>
              <w:t>КОНТРОЛЬ-ХИСАП ПАЛАТАСЫ</w:t>
            </w:r>
          </w:p>
          <w:p w:rsidR="0092630A" w:rsidRDefault="0092630A" w:rsidP="0092630A">
            <w:pPr>
              <w:ind w:left="-70" w:hanging="2"/>
              <w:jc w:val="center"/>
              <w:rPr>
                <w:b/>
              </w:rPr>
            </w:pPr>
            <w:proofErr w:type="spellStart"/>
            <w:r>
              <w:rPr>
                <w:b/>
              </w:rPr>
              <w:t>муниципаль</w:t>
            </w:r>
            <w:proofErr w:type="spellEnd"/>
            <w:r>
              <w:rPr>
                <w:b/>
              </w:rPr>
              <w:t xml:space="preserve"> казна </w:t>
            </w:r>
            <w:proofErr w:type="spellStart"/>
            <w:r>
              <w:rPr>
                <w:b/>
              </w:rPr>
              <w:t>учреждениясе</w:t>
            </w:r>
            <w:proofErr w:type="spellEnd"/>
          </w:p>
          <w:p w:rsidR="0092630A" w:rsidRDefault="0092630A" w:rsidP="0092630A">
            <w:pPr>
              <w:pStyle w:val="aa"/>
              <w:ind w:left="-70" w:hanging="2"/>
              <w:rPr>
                <w:sz w:val="20"/>
              </w:rPr>
            </w:pPr>
            <w:r>
              <w:rPr>
                <w:sz w:val="20"/>
              </w:rPr>
              <w:t xml:space="preserve">422190, Мамадыш  ш., М. Жалил </w:t>
            </w:r>
            <w:proofErr w:type="spellStart"/>
            <w:r>
              <w:rPr>
                <w:sz w:val="20"/>
              </w:rPr>
              <w:t>ур</w:t>
            </w:r>
            <w:proofErr w:type="spellEnd"/>
            <w:r>
              <w:rPr>
                <w:sz w:val="20"/>
              </w:rPr>
              <w:t>., 23/33</w:t>
            </w:r>
          </w:p>
          <w:p w:rsidR="0092630A" w:rsidRDefault="0092630A" w:rsidP="0092630A">
            <w:pPr>
              <w:pStyle w:val="aa"/>
              <w:ind w:left="-70" w:right="-312" w:hanging="2"/>
              <w:rPr>
                <w:sz w:val="20"/>
              </w:rPr>
            </w:pPr>
            <w:r>
              <w:rPr>
                <w:sz w:val="20"/>
              </w:rPr>
              <w:t>Тел. Факс: 3-26-19</w:t>
            </w:r>
          </w:p>
          <w:p w:rsidR="00336F56" w:rsidRDefault="00336F56">
            <w:pPr>
              <w:ind w:left="567"/>
            </w:pPr>
          </w:p>
        </w:tc>
      </w:tr>
      <w:tr w:rsidR="00336F56" w:rsidTr="000A6C9E">
        <w:trPr>
          <w:trHeight w:val="1809"/>
        </w:trPr>
        <w:tc>
          <w:tcPr>
            <w:tcW w:w="6237" w:type="dxa"/>
            <w:gridSpan w:val="3"/>
            <w:tcBorders>
              <w:top w:val="thickThinSmallGap" w:sz="24" w:space="0" w:color="auto"/>
              <w:left w:val="nil"/>
              <w:bottom w:val="nil"/>
              <w:right w:val="nil"/>
            </w:tcBorders>
          </w:tcPr>
          <w:p w:rsidR="00336F56" w:rsidRDefault="00336F56">
            <w:pPr>
              <w:spacing w:line="360" w:lineRule="auto"/>
              <w:jc w:val="center"/>
            </w:pPr>
          </w:p>
          <w:p w:rsidR="00336F56" w:rsidRPr="000A6C9E" w:rsidRDefault="00336F56">
            <w:pPr>
              <w:pStyle w:val="5"/>
              <w:jc w:val="center"/>
            </w:pPr>
            <w:r w:rsidRPr="000A6C9E">
              <w:t>От_</w:t>
            </w:r>
            <w:r w:rsidR="00AC0665" w:rsidRPr="000A6C9E">
              <w:rPr>
                <w:u w:val="single"/>
              </w:rPr>
              <w:t>29</w:t>
            </w:r>
            <w:r w:rsidRPr="000A6C9E">
              <w:rPr>
                <w:u w:val="single"/>
              </w:rPr>
              <w:t xml:space="preserve"> ноября 201</w:t>
            </w:r>
            <w:r w:rsidR="00AC0665" w:rsidRPr="000A6C9E">
              <w:rPr>
                <w:u w:val="single"/>
              </w:rPr>
              <w:t xml:space="preserve">3 </w:t>
            </w:r>
            <w:r w:rsidRPr="000A6C9E">
              <w:rPr>
                <w:u w:val="single"/>
              </w:rPr>
              <w:t>г.</w:t>
            </w:r>
            <w:r w:rsidRPr="000A6C9E">
              <w:t xml:space="preserve">__  </w:t>
            </w:r>
            <w:r w:rsidR="000A6C9E" w:rsidRPr="000A6C9E">
              <w:rPr>
                <w:u w:val="single"/>
              </w:rPr>
              <w:t>79-38-КСП</w:t>
            </w:r>
            <w:r w:rsidR="000A6C9E" w:rsidRPr="000A6C9E">
              <w:t>__</w:t>
            </w:r>
          </w:p>
          <w:p w:rsidR="00336F56" w:rsidRPr="000A6C9E" w:rsidRDefault="00336F56"/>
          <w:p w:rsidR="00277B9B" w:rsidRDefault="00277B9B"/>
          <w:p w:rsidR="0012126C" w:rsidRDefault="0012126C"/>
          <w:p w:rsidR="0012126C" w:rsidRDefault="0012126C"/>
          <w:p w:rsidR="0012126C" w:rsidRDefault="0012126C"/>
        </w:tc>
        <w:tc>
          <w:tcPr>
            <w:tcW w:w="3828" w:type="dxa"/>
            <w:tcBorders>
              <w:top w:val="thickThinSmallGap" w:sz="24" w:space="0" w:color="auto"/>
              <w:left w:val="nil"/>
              <w:bottom w:val="nil"/>
              <w:right w:val="nil"/>
            </w:tcBorders>
          </w:tcPr>
          <w:p w:rsidR="00336F56" w:rsidRDefault="00336F56">
            <w:pPr>
              <w:rPr>
                <w:b/>
                <w:bCs/>
              </w:rPr>
            </w:pPr>
          </w:p>
          <w:p w:rsidR="00336F56" w:rsidRDefault="00336F56">
            <w:pPr>
              <w:rPr>
                <w:b/>
                <w:bCs/>
                <w:sz w:val="28"/>
                <w:szCs w:val="28"/>
              </w:rPr>
            </w:pPr>
          </w:p>
          <w:p w:rsidR="002F1908" w:rsidRDefault="002F1908">
            <w:pPr>
              <w:rPr>
                <w:b/>
                <w:bCs/>
                <w:sz w:val="28"/>
                <w:szCs w:val="28"/>
              </w:rPr>
            </w:pPr>
          </w:p>
          <w:p w:rsidR="00277B9B" w:rsidRDefault="00277B9B" w:rsidP="00794221">
            <w:pPr>
              <w:rPr>
                <w:b/>
                <w:bCs/>
                <w:u w:val="single"/>
              </w:rPr>
            </w:pPr>
          </w:p>
        </w:tc>
      </w:tr>
    </w:tbl>
    <w:p w:rsidR="00336F56" w:rsidRPr="000063A7" w:rsidRDefault="00336F56" w:rsidP="000063A7">
      <w:pPr>
        <w:tabs>
          <w:tab w:val="left" w:pos="0"/>
        </w:tabs>
        <w:jc w:val="center"/>
        <w:rPr>
          <w:b/>
          <w:bCs/>
          <w:sz w:val="28"/>
          <w:szCs w:val="28"/>
        </w:rPr>
      </w:pPr>
      <w:r w:rsidRPr="000063A7">
        <w:rPr>
          <w:b/>
          <w:bCs/>
          <w:sz w:val="28"/>
          <w:szCs w:val="28"/>
        </w:rPr>
        <w:t>ЗАКЛЮЧЕНИЕ</w:t>
      </w:r>
    </w:p>
    <w:p w:rsidR="00794221" w:rsidRPr="000063A7" w:rsidRDefault="00794221" w:rsidP="000063A7">
      <w:pPr>
        <w:tabs>
          <w:tab w:val="left" w:pos="0"/>
        </w:tabs>
        <w:spacing w:before="100" w:beforeAutospacing="1" w:after="100" w:afterAutospacing="1"/>
        <w:jc w:val="center"/>
        <w:rPr>
          <w:sz w:val="28"/>
          <w:szCs w:val="28"/>
        </w:rPr>
      </w:pPr>
      <w:r w:rsidRPr="000063A7">
        <w:rPr>
          <w:b/>
          <w:bCs/>
          <w:sz w:val="28"/>
          <w:szCs w:val="28"/>
        </w:rPr>
        <w:t xml:space="preserve">на проект решения Совета </w:t>
      </w:r>
      <w:proofErr w:type="spellStart"/>
      <w:r w:rsidR="00B34255">
        <w:rPr>
          <w:b/>
          <w:bCs/>
          <w:sz w:val="28"/>
          <w:szCs w:val="28"/>
        </w:rPr>
        <w:t>Верхнеошмин</w:t>
      </w:r>
      <w:r w:rsidRPr="000063A7">
        <w:rPr>
          <w:b/>
          <w:bCs/>
          <w:sz w:val="28"/>
          <w:szCs w:val="28"/>
        </w:rPr>
        <w:t>ского</w:t>
      </w:r>
      <w:proofErr w:type="spellEnd"/>
      <w:r w:rsidRPr="000063A7">
        <w:rPr>
          <w:b/>
          <w:bCs/>
          <w:sz w:val="28"/>
          <w:szCs w:val="28"/>
        </w:rPr>
        <w:t xml:space="preserve"> сельского поселения</w:t>
      </w:r>
    </w:p>
    <w:p w:rsidR="00794221" w:rsidRPr="000063A7" w:rsidRDefault="00794221" w:rsidP="000063A7">
      <w:pPr>
        <w:tabs>
          <w:tab w:val="left" w:pos="0"/>
        </w:tabs>
        <w:spacing w:before="100" w:beforeAutospacing="1" w:after="100" w:afterAutospacing="1"/>
        <w:jc w:val="center"/>
        <w:rPr>
          <w:sz w:val="28"/>
          <w:szCs w:val="28"/>
        </w:rPr>
      </w:pPr>
      <w:r w:rsidRPr="000063A7">
        <w:rPr>
          <w:b/>
          <w:bCs/>
          <w:sz w:val="28"/>
          <w:szCs w:val="28"/>
        </w:rPr>
        <w:t xml:space="preserve">«О бюджете </w:t>
      </w:r>
      <w:proofErr w:type="spellStart"/>
      <w:r w:rsidR="00B34255">
        <w:rPr>
          <w:b/>
          <w:bCs/>
          <w:sz w:val="28"/>
          <w:szCs w:val="28"/>
        </w:rPr>
        <w:t>Верхнеошмин</w:t>
      </w:r>
      <w:r w:rsidRPr="000063A7">
        <w:rPr>
          <w:b/>
          <w:bCs/>
          <w:sz w:val="28"/>
          <w:szCs w:val="28"/>
        </w:rPr>
        <w:t>ского</w:t>
      </w:r>
      <w:proofErr w:type="spellEnd"/>
      <w:r w:rsidRPr="000063A7">
        <w:rPr>
          <w:b/>
          <w:bCs/>
          <w:sz w:val="28"/>
          <w:szCs w:val="28"/>
        </w:rPr>
        <w:t xml:space="preserve"> сельского поселения на 2014 год и</w:t>
      </w:r>
    </w:p>
    <w:p w:rsidR="00794221" w:rsidRPr="000063A7" w:rsidRDefault="00794221" w:rsidP="000063A7">
      <w:pPr>
        <w:tabs>
          <w:tab w:val="left" w:pos="0"/>
        </w:tabs>
        <w:spacing w:before="100" w:beforeAutospacing="1" w:after="100" w:afterAutospacing="1"/>
        <w:jc w:val="center"/>
        <w:rPr>
          <w:sz w:val="28"/>
          <w:szCs w:val="28"/>
        </w:rPr>
      </w:pPr>
      <w:r w:rsidRPr="000063A7">
        <w:rPr>
          <w:b/>
          <w:bCs/>
          <w:sz w:val="28"/>
          <w:szCs w:val="28"/>
        </w:rPr>
        <w:t>на плановый период 2015 и 2016 годов»</w:t>
      </w:r>
    </w:p>
    <w:p w:rsidR="00336F56" w:rsidRPr="000063A7" w:rsidRDefault="00336F56" w:rsidP="000063A7">
      <w:pPr>
        <w:tabs>
          <w:tab w:val="left" w:pos="0"/>
        </w:tabs>
        <w:spacing w:line="276" w:lineRule="auto"/>
        <w:ind w:firstLine="709"/>
        <w:jc w:val="both"/>
        <w:rPr>
          <w:b/>
          <w:bCs/>
          <w:sz w:val="28"/>
          <w:szCs w:val="28"/>
        </w:rPr>
      </w:pPr>
    </w:p>
    <w:p w:rsidR="00336F56" w:rsidRPr="000063A7" w:rsidRDefault="00336F56" w:rsidP="000063A7">
      <w:pPr>
        <w:numPr>
          <w:ilvl w:val="0"/>
          <w:numId w:val="3"/>
        </w:numPr>
        <w:tabs>
          <w:tab w:val="left" w:pos="-142"/>
        </w:tabs>
        <w:spacing w:line="276" w:lineRule="auto"/>
        <w:ind w:left="-142" w:right="-143" w:firstLine="709"/>
        <w:jc w:val="both"/>
        <w:rPr>
          <w:b/>
          <w:bCs/>
          <w:sz w:val="28"/>
          <w:szCs w:val="28"/>
        </w:rPr>
      </w:pPr>
      <w:r w:rsidRPr="000063A7">
        <w:rPr>
          <w:b/>
          <w:bCs/>
          <w:sz w:val="28"/>
          <w:szCs w:val="28"/>
        </w:rPr>
        <w:t>Общие положения</w:t>
      </w:r>
    </w:p>
    <w:p w:rsidR="00794221" w:rsidRPr="000063A7" w:rsidRDefault="00794221" w:rsidP="000063A7">
      <w:pPr>
        <w:tabs>
          <w:tab w:val="left" w:pos="-142"/>
        </w:tabs>
        <w:spacing w:before="100" w:beforeAutospacing="1" w:after="100" w:afterAutospacing="1" w:line="276" w:lineRule="auto"/>
        <w:ind w:left="-142" w:right="-143" w:firstLine="709"/>
        <w:jc w:val="both"/>
        <w:rPr>
          <w:sz w:val="28"/>
          <w:szCs w:val="28"/>
        </w:rPr>
      </w:pPr>
      <w:proofErr w:type="gramStart"/>
      <w:r w:rsidRPr="000063A7">
        <w:rPr>
          <w:sz w:val="28"/>
          <w:szCs w:val="28"/>
        </w:rPr>
        <w:t xml:space="preserve">Заключение Контрольно-счетной палаты </w:t>
      </w:r>
      <w:r w:rsidR="000063A7" w:rsidRPr="000063A7">
        <w:rPr>
          <w:sz w:val="28"/>
          <w:szCs w:val="28"/>
        </w:rPr>
        <w:t>Мамадыш</w:t>
      </w:r>
      <w:r w:rsidRPr="000063A7">
        <w:rPr>
          <w:sz w:val="28"/>
          <w:szCs w:val="28"/>
        </w:rPr>
        <w:t xml:space="preserve">ского муниципального района на проект решения  «О бюджете </w:t>
      </w:r>
      <w:proofErr w:type="spellStart"/>
      <w:r w:rsidR="00B34255">
        <w:rPr>
          <w:sz w:val="28"/>
          <w:szCs w:val="28"/>
        </w:rPr>
        <w:t>Верхнеошмин</w:t>
      </w:r>
      <w:r w:rsidRPr="000063A7">
        <w:rPr>
          <w:sz w:val="28"/>
          <w:szCs w:val="28"/>
        </w:rPr>
        <w:t>ского</w:t>
      </w:r>
      <w:proofErr w:type="spellEnd"/>
      <w:r w:rsidRPr="000063A7">
        <w:rPr>
          <w:sz w:val="28"/>
          <w:szCs w:val="28"/>
        </w:rPr>
        <w:t xml:space="preserve"> сельского поселения на 2014 год и на плановый период 2015 и 2016 годов» (далее - Заключение) подготовлено в соответствии с Бюджетным кодексом Российской Федерации, Бюджетным кодексом Республики Татарстан,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w:t>
      </w:r>
      <w:proofErr w:type="gramEnd"/>
      <w:r w:rsidRPr="000063A7">
        <w:rPr>
          <w:sz w:val="28"/>
          <w:szCs w:val="28"/>
        </w:rPr>
        <w:t xml:space="preserve"> </w:t>
      </w:r>
      <w:proofErr w:type="gramStart"/>
      <w:r w:rsidRPr="000063A7">
        <w:rPr>
          <w:sz w:val="28"/>
          <w:szCs w:val="28"/>
        </w:rPr>
        <w:t xml:space="preserve">принципах организации и деятельности контрольно-счетных органов субъектов Российской Федерации и муниципальных образований», Устава сельского поселения, Положения о Контрольно-счетной </w:t>
      </w:r>
      <w:r w:rsidR="000A6C9E">
        <w:rPr>
          <w:sz w:val="28"/>
          <w:szCs w:val="28"/>
        </w:rPr>
        <w:t xml:space="preserve">палате Мамадышского муниципального района (далее - Контрольно-счетная палата), </w:t>
      </w:r>
      <w:r w:rsidRPr="000063A7">
        <w:rPr>
          <w:sz w:val="28"/>
          <w:szCs w:val="28"/>
        </w:rPr>
        <w:t>Соглашения «О передаче полномочий по осуществлению внешнего муниципального финансового контроля».</w:t>
      </w:r>
      <w:proofErr w:type="gramEnd"/>
    </w:p>
    <w:p w:rsidR="00794221" w:rsidRPr="000063A7" w:rsidRDefault="00794221" w:rsidP="000063A7">
      <w:pPr>
        <w:tabs>
          <w:tab w:val="left" w:pos="-142"/>
        </w:tabs>
        <w:spacing w:before="100" w:beforeAutospacing="1" w:after="100" w:afterAutospacing="1" w:line="276" w:lineRule="auto"/>
        <w:ind w:left="-142" w:right="-143" w:firstLine="709"/>
        <w:jc w:val="both"/>
        <w:rPr>
          <w:sz w:val="28"/>
          <w:szCs w:val="28"/>
        </w:rPr>
      </w:pPr>
      <w:r w:rsidRPr="000063A7">
        <w:rPr>
          <w:sz w:val="28"/>
          <w:szCs w:val="28"/>
        </w:rPr>
        <w:t>При проведении экспертизы</w:t>
      </w:r>
      <w:proofErr w:type="gramStart"/>
      <w:r w:rsidRPr="000063A7">
        <w:rPr>
          <w:sz w:val="28"/>
          <w:szCs w:val="28"/>
        </w:rPr>
        <w:t xml:space="preserve"> К</w:t>
      </w:r>
      <w:proofErr w:type="gramEnd"/>
      <w:r w:rsidRPr="000063A7">
        <w:rPr>
          <w:sz w:val="28"/>
          <w:szCs w:val="28"/>
        </w:rPr>
        <w:t xml:space="preserve">онтрольно - счетная палата исходила из необходимости оценки соответствия проекта решения </w:t>
      </w:r>
      <w:proofErr w:type="spellStart"/>
      <w:r w:rsidR="00B34255">
        <w:rPr>
          <w:sz w:val="28"/>
          <w:szCs w:val="28"/>
        </w:rPr>
        <w:t>Верхнеошмин</w:t>
      </w:r>
      <w:r w:rsidRPr="000063A7">
        <w:rPr>
          <w:sz w:val="28"/>
          <w:szCs w:val="28"/>
        </w:rPr>
        <w:t>ского</w:t>
      </w:r>
      <w:proofErr w:type="spellEnd"/>
      <w:r w:rsidRPr="000063A7">
        <w:rPr>
          <w:sz w:val="28"/>
          <w:szCs w:val="28"/>
        </w:rPr>
        <w:t xml:space="preserve"> сельского поселения (далее сельское поселение) «О бюджете </w:t>
      </w:r>
      <w:proofErr w:type="spellStart"/>
      <w:r w:rsidR="00B34255">
        <w:rPr>
          <w:sz w:val="28"/>
          <w:szCs w:val="28"/>
        </w:rPr>
        <w:t>Верхнеошмин</w:t>
      </w:r>
      <w:r w:rsidRPr="000063A7">
        <w:rPr>
          <w:sz w:val="28"/>
          <w:szCs w:val="28"/>
        </w:rPr>
        <w:t>ского</w:t>
      </w:r>
      <w:proofErr w:type="spellEnd"/>
      <w:r w:rsidRPr="000063A7">
        <w:rPr>
          <w:sz w:val="28"/>
          <w:szCs w:val="28"/>
        </w:rPr>
        <w:t xml:space="preserve"> сельского поселения на 2014 год и на плановый период 2015 и 2016 годов» требованиям бюджетного законодательства, а также </w:t>
      </w:r>
      <w:r w:rsidRPr="000063A7">
        <w:rPr>
          <w:sz w:val="28"/>
          <w:szCs w:val="28"/>
        </w:rPr>
        <w:lastRenderedPageBreak/>
        <w:t>задачам, обозначенным в Бюджетном Послании Президента Российской Федерации «О бюджетной политике в 2014 - 2016 годах», Послании Президента Республики Татарстан Государственному Совету Республики Татарстан.</w:t>
      </w:r>
    </w:p>
    <w:p w:rsidR="00794221" w:rsidRPr="000063A7" w:rsidRDefault="00794221" w:rsidP="000063A7">
      <w:pPr>
        <w:tabs>
          <w:tab w:val="left" w:pos="-142"/>
        </w:tabs>
        <w:spacing w:before="100" w:beforeAutospacing="1" w:after="100" w:afterAutospacing="1" w:line="276" w:lineRule="auto"/>
        <w:ind w:left="-142" w:right="-143" w:firstLine="709"/>
        <w:jc w:val="both"/>
        <w:rPr>
          <w:sz w:val="28"/>
          <w:szCs w:val="28"/>
        </w:rPr>
      </w:pPr>
      <w:r w:rsidRPr="000063A7">
        <w:rPr>
          <w:sz w:val="28"/>
          <w:szCs w:val="28"/>
        </w:rPr>
        <w:t xml:space="preserve"> Проект решения «О бюджете </w:t>
      </w:r>
      <w:proofErr w:type="spellStart"/>
      <w:r w:rsidR="00B34255">
        <w:rPr>
          <w:sz w:val="28"/>
          <w:szCs w:val="28"/>
        </w:rPr>
        <w:t>Верхнеошмин</w:t>
      </w:r>
      <w:r w:rsidRPr="000063A7">
        <w:rPr>
          <w:sz w:val="28"/>
          <w:szCs w:val="28"/>
        </w:rPr>
        <w:t>ского</w:t>
      </w:r>
      <w:proofErr w:type="spellEnd"/>
      <w:r w:rsidRPr="000063A7">
        <w:rPr>
          <w:sz w:val="28"/>
          <w:szCs w:val="28"/>
        </w:rPr>
        <w:t xml:space="preserve"> сельского поселения  на 2014 год и на плановый период 2015 и 2016 годов» внесен в срок, установленный бюджетным законодательством.</w:t>
      </w:r>
    </w:p>
    <w:p w:rsidR="00794221" w:rsidRPr="000063A7" w:rsidRDefault="00794221" w:rsidP="000063A7">
      <w:pPr>
        <w:tabs>
          <w:tab w:val="left" w:pos="-142"/>
        </w:tabs>
        <w:spacing w:before="100" w:beforeAutospacing="1" w:after="100" w:afterAutospacing="1" w:line="276" w:lineRule="auto"/>
        <w:ind w:left="-142" w:right="-143" w:firstLine="709"/>
        <w:jc w:val="both"/>
        <w:rPr>
          <w:sz w:val="28"/>
          <w:szCs w:val="28"/>
        </w:rPr>
      </w:pPr>
      <w:r w:rsidRPr="000063A7">
        <w:rPr>
          <w:sz w:val="28"/>
          <w:szCs w:val="28"/>
        </w:rPr>
        <w:t>Экспертиза проекта бюджета сельского поселения проведена по вопросам сбалансированности бюджета, обоснованности доходной и расходной частей, размерам долговых обязательств, а также на соответствие бюджетному законодательству Российской Федерации и Республики Татарстан.</w:t>
      </w:r>
    </w:p>
    <w:p w:rsidR="00794221" w:rsidRPr="000063A7" w:rsidRDefault="00794221" w:rsidP="000063A7">
      <w:pPr>
        <w:tabs>
          <w:tab w:val="left" w:pos="-142"/>
        </w:tabs>
        <w:spacing w:before="100" w:beforeAutospacing="1" w:after="100" w:afterAutospacing="1" w:line="276" w:lineRule="auto"/>
        <w:ind w:left="-142" w:right="-143" w:firstLine="709"/>
        <w:jc w:val="both"/>
        <w:rPr>
          <w:sz w:val="28"/>
          <w:szCs w:val="28"/>
        </w:rPr>
      </w:pPr>
      <w:r w:rsidRPr="000063A7">
        <w:rPr>
          <w:sz w:val="28"/>
          <w:szCs w:val="28"/>
        </w:rPr>
        <w:t xml:space="preserve">Рассмотрев направленный сельским поселением проект бюджета, пояснительную записку и справочный материал к проекту бюджета, а также другие документы, представленные одновременно с проектом бюджета, </w:t>
      </w:r>
      <w:r w:rsidR="000A6C9E">
        <w:rPr>
          <w:sz w:val="28"/>
          <w:szCs w:val="28"/>
        </w:rPr>
        <w:t xml:space="preserve">установлено соответствие их перечню согласно пункту 4 статьи 61 Бюджетного </w:t>
      </w:r>
      <w:r w:rsidRPr="000063A7">
        <w:rPr>
          <w:sz w:val="28"/>
          <w:szCs w:val="28"/>
        </w:rPr>
        <w:t xml:space="preserve"> кодекса Республики Татарстан.</w:t>
      </w:r>
    </w:p>
    <w:p w:rsidR="00794221" w:rsidRPr="000063A7" w:rsidRDefault="00794221" w:rsidP="000063A7">
      <w:pPr>
        <w:tabs>
          <w:tab w:val="left" w:pos="-142"/>
        </w:tabs>
        <w:spacing w:before="100" w:beforeAutospacing="1" w:after="100" w:afterAutospacing="1" w:line="276" w:lineRule="auto"/>
        <w:ind w:left="-142" w:right="-143" w:firstLine="709"/>
        <w:jc w:val="both"/>
        <w:rPr>
          <w:sz w:val="28"/>
          <w:szCs w:val="28"/>
        </w:rPr>
      </w:pPr>
      <w:r w:rsidRPr="000063A7">
        <w:rPr>
          <w:sz w:val="28"/>
          <w:szCs w:val="28"/>
        </w:rPr>
        <w:t xml:space="preserve">Доходы бюджета поселения сформированы исходя из макроэкономических показателей социально-экономического развития </w:t>
      </w:r>
      <w:proofErr w:type="spellStart"/>
      <w:r w:rsidR="00B34255">
        <w:rPr>
          <w:sz w:val="28"/>
          <w:szCs w:val="28"/>
        </w:rPr>
        <w:t>Верхнеошмин</w:t>
      </w:r>
      <w:r w:rsidRPr="000063A7">
        <w:rPr>
          <w:sz w:val="28"/>
          <w:szCs w:val="28"/>
        </w:rPr>
        <w:t>ского</w:t>
      </w:r>
      <w:proofErr w:type="spellEnd"/>
      <w:r w:rsidRPr="000063A7">
        <w:rPr>
          <w:sz w:val="28"/>
          <w:szCs w:val="28"/>
        </w:rPr>
        <w:t xml:space="preserve"> сельского поселения на 2014 год и на плановый период 2015 и 2016 годов, основных направлений бюджетной и налоговой политики на 2014 год и на плановый период 2015 и 2016 годов. </w:t>
      </w:r>
    </w:p>
    <w:p w:rsidR="00B01717" w:rsidRPr="000063A7" w:rsidRDefault="00B01717" w:rsidP="000063A7">
      <w:pPr>
        <w:tabs>
          <w:tab w:val="left" w:pos="-142"/>
        </w:tabs>
        <w:spacing w:line="276" w:lineRule="auto"/>
        <w:ind w:left="-142" w:right="-143" w:firstLine="709"/>
        <w:jc w:val="both"/>
        <w:rPr>
          <w:b/>
          <w:bCs/>
          <w:sz w:val="28"/>
          <w:szCs w:val="28"/>
        </w:rPr>
      </w:pPr>
      <w:r w:rsidRPr="00B01717">
        <w:rPr>
          <w:rFonts w:ascii="Verdana" w:hAnsi="Verdana"/>
          <w:b/>
          <w:color w:val="444444"/>
          <w:sz w:val="20"/>
          <w:szCs w:val="20"/>
        </w:rPr>
        <w:t> </w:t>
      </w:r>
      <w:r w:rsidRPr="00B01717">
        <w:rPr>
          <w:b/>
          <w:bCs/>
          <w:sz w:val="28"/>
          <w:szCs w:val="28"/>
        </w:rPr>
        <w:t xml:space="preserve">2. </w:t>
      </w:r>
      <w:r w:rsidRPr="000063A7">
        <w:rPr>
          <w:b/>
          <w:bCs/>
          <w:sz w:val="28"/>
          <w:szCs w:val="28"/>
        </w:rPr>
        <w:t>Анализ прогноза социально-экономического развития</w:t>
      </w:r>
      <w:r w:rsidRPr="000063A7">
        <w:rPr>
          <w:b/>
          <w:sz w:val="28"/>
          <w:szCs w:val="28"/>
        </w:rPr>
        <w:t xml:space="preserve"> </w:t>
      </w:r>
      <w:proofErr w:type="spellStart"/>
      <w:r w:rsidR="00B34255">
        <w:rPr>
          <w:b/>
          <w:sz w:val="28"/>
          <w:szCs w:val="28"/>
        </w:rPr>
        <w:t>Верхнеошмин</w:t>
      </w:r>
      <w:r w:rsidRPr="000063A7">
        <w:rPr>
          <w:b/>
          <w:sz w:val="28"/>
          <w:szCs w:val="28"/>
        </w:rPr>
        <w:t>ского</w:t>
      </w:r>
      <w:proofErr w:type="spellEnd"/>
      <w:r w:rsidRPr="000063A7">
        <w:rPr>
          <w:b/>
          <w:sz w:val="28"/>
          <w:szCs w:val="28"/>
        </w:rPr>
        <w:t xml:space="preserve"> сельского поселения </w:t>
      </w:r>
      <w:r w:rsidRPr="000063A7">
        <w:rPr>
          <w:b/>
          <w:bCs/>
          <w:sz w:val="28"/>
          <w:szCs w:val="28"/>
        </w:rPr>
        <w:t>на 2014 год.</w:t>
      </w:r>
    </w:p>
    <w:p w:rsidR="005425E8" w:rsidRDefault="00BA657D" w:rsidP="000063A7">
      <w:pPr>
        <w:tabs>
          <w:tab w:val="left" w:pos="-142"/>
        </w:tabs>
        <w:spacing w:line="276" w:lineRule="auto"/>
        <w:ind w:left="-142" w:right="-143" w:firstLine="709"/>
        <w:jc w:val="both"/>
        <w:rPr>
          <w:sz w:val="28"/>
          <w:szCs w:val="28"/>
        </w:rPr>
      </w:pPr>
      <w:r w:rsidRPr="000063A7">
        <w:rPr>
          <w:sz w:val="28"/>
          <w:szCs w:val="28"/>
        </w:rPr>
        <w:t xml:space="preserve">Прогноз социально-экономического развития </w:t>
      </w:r>
      <w:proofErr w:type="spellStart"/>
      <w:r w:rsidR="00B34255">
        <w:rPr>
          <w:sz w:val="28"/>
          <w:szCs w:val="28"/>
        </w:rPr>
        <w:t>Верхнеошмин</w:t>
      </w:r>
      <w:r w:rsidR="00BA6720" w:rsidRPr="000063A7">
        <w:rPr>
          <w:sz w:val="28"/>
          <w:szCs w:val="28"/>
        </w:rPr>
        <w:t>ского</w:t>
      </w:r>
      <w:proofErr w:type="spellEnd"/>
      <w:r w:rsidR="00BA6720" w:rsidRPr="000063A7">
        <w:rPr>
          <w:sz w:val="28"/>
          <w:szCs w:val="28"/>
        </w:rPr>
        <w:t xml:space="preserve"> сельского поселения</w:t>
      </w:r>
      <w:r w:rsidRPr="000063A7">
        <w:rPr>
          <w:sz w:val="28"/>
          <w:szCs w:val="28"/>
        </w:rPr>
        <w:t xml:space="preserve"> соответствует  Положениям, содержащимся в </w:t>
      </w:r>
      <w:proofErr w:type="gramStart"/>
      <w:r w:rsidRPr="000063A7">
        <w:rPr>
          <w:sz w:val="28"/>
          <w:szCs w:val="28"/>
        </w:rPr>
        <w:t>Бюджетном</w:t>
      </w:r>
      <w:proofErr w:type="gramEnd"/>
      <w:r w:rsidRPr="000063A7">
        <w:rPr>
          <w:sz w:val="28"/>
          <w:szCs w:val="28"/>
        </w:rPr>
        <w:t xml:space="preserve">  послание Президента Российской Федерации, прогнозу социально-экономического  развития и основным направлениям</w:t>
      </w:r>
      <w:r w:rsidRPr="00BA657D">
        <w:rPr>
          <w:sz w:val="28"/>
          <w:szCs w:val="28"/>
        </w:rPr>
        <w:t xml:space="preserve"> бюджетной и налоговой политики  </w:t>
      </w:r>
      <w:r w:rsidRPr="00F026F0">
        <w:rPr>
          <w:sz w:val="28"/>
          <w:szCs w:val="28"/>
        </w:rPr>
        <w:t>Мамадышского муниципального района на 2011-2015 годы.</w:t>
      </w:r>
      <w:r w:rsidRPr="00BA657D">
        <w:rPr>
          <w:sz w:val="28"/>
          <w:szCs w:val="28"/>
        </w:rPr>
        <w:t xml:space="preserve"> </w:t>
      </w:r>
      <w:r w:rsidRPr="00BA657D">
        <w:rPr>
          <w:sz w:val="28"/>
          <w:szCs w:val="28"/>
        </w:rPr>
        <w:tab/>
      </w:r>
    </w:p>
    <w:p w:rsidR="00BA657D" w:rsidRPr="00BA657D" w:rsidRDefault="00BA657D" w:rsidP="000063A7">
      <w:pPr>
        <w:tabs>
          <w:tab w:val="left" w:pos="-142"/>
        </w:tabs>
        <w:spacing w:line="276" w:lineRule="auto"/>
        <w:ind w:left="-142" w:right="-143" w:firstLine="709"/>
        <w:jc w:val="both"/>
        <w:rPr>
          <w:sz w:val="28"/>
          <w:szCs w:val="28"/>
        </w:rPr>
      </w:pPr>
      <w:r w:rsidRPr="00BA657D">
        <w:rPr>
          <w:sz w:val="28"/>
          <w:szCs w:val="28"/>
        </w:rPr>
        <w:t xml:space="preserve">Прогноз социально-экономического развития поселения представлен в виде пояснительной записки. </w:t>
      </w:r>
      <w:r w:rsidRPr="00BA657D">
        <w:rPr>
          <w:sz w:val="28"/>
          <w:szCs w:val="28"/>
        </w:rPr>
        <w:tab/>
      </w:r>
    </w:p>
    <w:p w:rsidR="00BA657D" w:rsidRPr="005425E8" w:rsidRDefault="00BA657D" w:rsidP="000063A7">
      <w:pPr>
        <w:tabs>
          <w:tab w:val="left" w:pos="-142"/>
        </w:tabs>
        <w:spacing w:line="276" w:lineRule="auto"/>
        <w:ind w:left="-142" w:right="-143" w:firstLine="709"/>
        <w:jc w:val="both"/>
        <w:rPr>
          <w:sz w:val="28"/>
          <w:szCs w:val="28"/>
        </w:rPr>
      </w:pPr>
      <w:r w:rsidRPr="00BA657D">
        <w:rPr>
          <w:sz w:val="28"/>
          <w:szCs w:val="28"/>
        </w:rPr>
        <w:t>Нормативно-методическая база соответствует действующим нормативно-</w:t>
      </w:r>
      <w:r w:rsidRPr="005425E8">
        <w:rPr>
          <w:sz w:val="28"/>
          <w:szCs w:val="28"/>
        </w:rPr>
        <w:t>правовым актам.</w:t>
      </w:r>
    </w:p>
    <w:p w:rsidR="005425E8" w:rsidRPr="005425E8" w:rsidRDefault="00BA657D" w:rsidP="000063A7">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5425E8">
        <w:rPr>
          <w:rFonts w:ascii="Times New Roman" w:hAnsi="Times New Roman" w:cs="Times New Roman"/>
          <w:sz w:val="28"/>
          <w:szCs w:val="28"/>
        </w:rPr>
        <w:t xml:space="preserve">При расчете показателей прогноза социально-экономического развития поселения  приняты  за основу следующие прогнозные показатели социально – экономического развития </w:t>
      </w:r>
      <w:r w:rsidR="005425E8" w:rsidRPr="005425E8">
        <w:rPr>
          <w:rFonts w:ascii="Times New Roman" w:hAnsi="Times New Roman" w:cs="Times New Roman"/>
          <w:sz w:val="28"/>
          <w:szCs w:val="28"/>
        </w:rPr>
        <w:t>района, предусмотренные Программой социально-</w:t>
      </w:r>
      <w:r w:rsidR="005425E8" w:rsidRPr="005425E8">
        <w:rPr>
          <w:rFonts w:ascii="Times New Roman" w:hAnsi="Times New Roman" w:cs="Times New Roman"/>
          <w:sz w:val="28"/>
          <w:szCs w:val="28"/>
        </w:rPr>
        <w:lastRenderedPageBreak/>
        <w:t>экономического развития Мамадышского муниципального района на 2011-2015 годы.</w:t>
      </w:r>
    </w:p>
    <w:p w:rsidR="00794221" w:rsidRPr="005425E8" w:rsidRDefault="00794221" w:rsidP="000063A7">
      <w:pPr>
        <w:pStyle w:val="ConsPlusNormal"/>
        <w:widowControl/>
        <w:tabs>
          <w:tab w:val="left" w:pos="-142"/>
        </w:tabs>
        <w:spacing w:line="276" w:lineRule="auto"/>
        <w:ind w:left="-142" w:right="-143" w:firstLine="709"/>
        <w:jc w:val="both"/>
        <w:rPr>
          <w:rFonts w:ascii="Times New Roman" w:hAnsi="Times New Roman" w:cs="Times New Roman"/>
          <w:color w:val="444444"/>
          <w:sz w:val="28"/>
          <w:szCs w:val="28"/>
        </w:rPr>
      </w:pPr>
      <w:r w:rsidRPr="005425E8">
        <w:rPr>
          <w:rFonts w:ascii="Times New Roman" w:hAnsi="Times New Roman" w:cs="Times New Roman"/>
          <w:sz w:val="28"/>
          <w:szCs w:val="28"/>
        </w:rPr>
        <w:t xml:space="preserve">Предварительные итоги социально-экономического развития </w:t>
      </w:r>
      <w:proofErr w:type="spellStart"/>
      <w:r w:rsidR="00B34255">
        <w:rPr>
          <w:rFonts w:ascii="Times New Roman" w:hAnsi="Times New Roman" w:cs="Times New Roman"/>
          <w:sz w:val="28"/>
          <w:szCs w:val="28"/>
        </w:rPr>
        <w:t>Верхнеошмин</w:t>
      </w:r>
      <w:r w:rsidRPr="005425E8">
        <w:rPr>
          <w:rFonts w:ascii="Times New Roman" w:hAnsi="Times New Roman" w:cs="Times New Roman"/>
          <w:sz w:val="28"/>
          <w:szCs w:val="28"/>
        </w:rPr>
        <w:t>ского</w:t>
      </w:r>
      <w:proofErr w:type="spellEnd"/>
      <w:r w:rsidRPr="005425E8">
        <w:rPr>
          <w:rFonts w:ascii="Times New Roman" w:hAnsi="Times New Roman" w:cs="Times New Roman"/>
          <w:sz w:val="28"/>
          <w:szCs w:val="28"/>
        </w:rPr>
        <w:t xml:space="preserve"> сельского поселения </w:t>
      </w:r>
      <w:r w:rsidR="000063A7">
        <w:rPr>
          <w:rFonts w:ascii="Times New Roman" w:hAnsi="Times New Roman" w:cs="Times New Roman"/>
          <w:sz w:val="28"/>
          <w:szCs w:val="28"/>
        </w:rPr>
        <w:t>Мамадыш</w:t>
      </w:r>
      <w:r w:rsidRPr="005425E8">
        <w:rPr>
          <w:rFonts w:ascii="Times New Roman" w:hAnsi="Times New Roman" w:cs="Times New Roman"/>
          <w:sz w:val="28"/>
          <w:szCs w:val="28"/>
        </w:rPr>
        <w:t>ского муниципального района</w:t>
      </w:r>
      <w:r w:rsidR="005D5372">
        <w:rPr>
          <w:rFonts w:ascii="Times New Roman" w:hAnsi="Times New Roman" w:cs="Times New Roman"/>
          <w:sz w:val="28"/>
          <w:szCs w:val="28"/>
        </w:rPr>
        <w:t xml:space="preserve"> по отчету</w:t>
      </w:r>
      <w:r w:rsidRPr="005425E8">
        <w:rPr>
          <w:rFonts w:ascii="Times New Roman" w:hAnsi="Times New Roman" w:cs="Times New Roman"/>
          <w:sz w:val="28"/>
          <w:szCs w:val="28"/>
        </w:rPr>
        <w:t xml:space="preserve"> за </w:t>
      </w:r>
      <w:r w:rsidR="005D5372">
        <w:rPr>
          <w:rFonts w:ascii="Times New Roman" w:hAnsi="Times New Roman" w:cs="Times New Roman"/>
          <w:sz w:val="28"/>
          <w:szCs w:val="28"/>
        </w:rPr>
        <w:t>2011-</w:t>
      </w:r>
      <w:r w:rsidRPr="005425E8">
        <w:rPr>
          <w:rFonts w:ascii="Times New Roman" w:hAnsi="Times New Roman" w:cs="Times New Roman"/>
          <w:sz w:val="28"/>
          <w:szCs w:val="28"/>
        </w:rPr>
        <w:t>201</w:t>
      </w:r>
      <w:r w:rsidR="005D5372">
        <w:rPr>
          <w:rFonts w:ascii="Times New Roman" w:hAnsi="Times New Roman" w:cs="Times New Roman"/>
          <w:sz w:val="28"/>
          <w:szCs w:val="28"/>
        </w:rPr>
        <w:t>2</w:t>
      </w:r>
      <w:r w:rsidRPr="005425E8">
        <w:rPr>
          <w:rFonts w:ascii="Times New Roman" w:hAnsi="Times New Roman" w:cs="Times New Roman"/>
          <w:sz w:val="28"/>
          <w:szCs w:val="28"/>
        </w:rPr>
        <w:t xml:space="preserve"> года, ожидаемые за 2013 год и прогноз на 2014-2016 годы приведены в таблице</w:t>
      </w:r>
      <w:r w:rsidRPr="005425E8">
        <w:rPr>
          <w:rFonts w:ascii="Times New Roman" w:hAnsi="Times New Roman" w:cs="Times New Roman"/>
          <w:color w:val="444444"/>
          <w:sz w:val="28"/>
          <w:szCs w:val="28"/>
        </w:rPr>
        <w:t xml:space="preserve"> №1</w:t>
      </w:r>
    </w:p>
    <w:p w:rsidR="00B01717" w:rsidRPr="006A724C" w:rsidRDefault="00B01717" w:rsidP="00B01717">
      <w:pPr>
        <w:spacing w:before="100" w:beforeAutospacing="1" w:after="100" w:afterAutospacing="1" w:line="312" w:lineRule="atLeast"/>
        <w:jc w:val="right"/>
        <w:rPr>
          <w:sz w:val="28"/>
          <w:szCs w:val="28"/>
        </w:rPr>
      </w:pPr>
      <w:r w:rsidRPr="006A724C">
        <w:rPr>
          <w:sz w:val="28"/>
          <w:szCs w:val="28"/>
        </w:rPr>
        <w:t>Таблица №1</w:t>
      </w:r>
    </w:p>
    <w:tbl>
      <w:tblPr>
        <w:tblW w:w="10066"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962"/>
        <w:gridCol w:w="1023"/>
        <w:gridCol w:w="951"/>
        <w:gridCol w:w="911"/>
        <w:gridCol w:w="919"/>
        <w:gridCol w:w="905"/>
      </w:tblGrid>
      <w:tr w:rsidR="00BA657D" w:rsidRPr="00B01717" w:rsidTr="005D5372">
        <w:trPr>
          <w:tblCellSpacing w:w="0" w:type="dxa"/>
        </w:trPr>
        <w:tc>
          <w:tcPr>
            <w:tcW w:w="4395" w:type="dxa"/>
            <w:vAlign w:val="center"/>
            <w:hideMark/>
          </w:tcPr>
          <w:p w:rsidR="00BA657D" w:rsidRPr="005D5372" w:rsidRDefault="00BA657D" w:rsidP="00AB57CB">
            <w:pPr>
              <w:spacing w:before="100" w:beforeAutospacing="1" w:after="100" w:afterAutospacing="1" w:line="312" w:lineRule="atLeast"/>
              <w:jc w:val="center"/>
            </w:pPr>
            <w:r w:rsidRPr="005D5372">
              <w:t>Макроэкономические показатели</w:t>
            </w:r>
          </w:p>
        </w:tc>
        <w:tc>
          <w:tcPr>
            <w:tcW w:w="962" w:type="dxa"/>
            <w:vAlign w:val="center"/>
            <w:hideMark/>
          </w:tcPr>
          <w:p w:rsidR="00BA657D" w:rsidRPr="00BA657D" w:rsidRDefault="00BA657D">
            <w:pPr>
              <w:jc w:val="center"/>
              <w:rPr>
                <w:bCs/>
                <w:sz w:val="22"/>
                <w:szCs w:val="22"/>
              </w:rPr>
            </w:pPr>
            <w:r w:rsidRPr="00BA657D">
              <w:rPr>
                <w:bCs/>
                <w:sz w:val="22"/>
                <w:szCs w:val="22"/>
              </w:rPr>
              <w:t>2011 г. Отчет</w:t>
            </w:r>
          </w:p>
        </w:tc>
        <w:tc>
          <w:tcPr>
            <w:tcW w:w="1023" w:type="dxa"/>
            <w:vAlign w:val="center"/>
            <w:hideMark/>
          </w:tcPr>
          <w:p w:rsidR="00BA657D" w:rsidRPr="00BA657D" w:rsidRDefault="00BA657D">
            <w:pPr>
              <w:jc w:val="center"/>
              <w:rPr>
                <w:bCs/>
                <w:sz w:val="22"/>
                <w:szCs w:val="22"/>
              </w:rPr>
            </w:pPr>
            <w:r w:rsidRPr="00BA657D">
              <w:rPr>
                <w:bCs/>
                <w:sz w:val="22"/>
                <w:szCs w:val="22"/>
              </w:rPr>
              <w:t>2012 г. Отчет</w:t>
            </w:r>
          </w:p>
        </w:tc>
        <w:tc>
          <w:tcPr>
            <w:tcW w:w="951" w:type="dxa"/>
            <w:vAlign w:val="center"/>
            <w:hideMark/>
          </w:tcPr>
          <w:p w:rsidR="00BA657D" w:rsidRPr="00BA657D" w:rsidRDefault="00BA657D">
            <w:pPr>
              <w:jc w:val="center"/>
              <w:rPr>
                <w:bCs/>
                <w:sz w:val="22"/>
                <w:szCs w:val="22"/>
              </w:rPr>
            </w:pPr>
            <w:r w:rsidRPr="00BA657D">
              <w:rPr>
                <w:bCs/>
                <w:sz w:val="22"/>
                <w:szCs w:val="22"/>
              </w:rPr>
              <w:t xml:space="preserve"> 2013 г. Оценка</w:t>
            </w:r>
          </w:p>
        </w:tc>
        <w:tc>
          <w:tcPr>
            <w:tcW w:w="0" w:type="auto"/>
            <w:vAlign w:val="center"/>
            <w:hideMark/>
          </w:tcPr>
          <w:p w:rsidR="00BA657D" w:rsidRPr="00BA657D" w:rsidRDefault="00BA657D">
            <w:pPr>
              <w:jc w:val="center"/>
              <w:rPr>
                <w:bCs/>
                <w:sz w:val="22"/>
                <w:szCs w:val="22"/>
              </w:rPr>
            </w:pPr>
            <w:r w:rsidRPr="00BA657D">
              <w:rPr>
                <w:bCs/>
                <w:sz w:val="22"/>
                <w:szCs w:val="22"/>
              </w:rPr>
              <w:t>2014 г.  Прогноз</w:t>
            </w:r>
          </w:p>
        </w:tc>
        <w:tc>
          <w:tcPr>
            <w:tcW w:w="0" w:type="auto"/>
            <w:vAlign w:val="center"/>
            <w:hideMark/>
          </w:tcPr>
          <w:p w:rsidR="00BA657D" w:rsidRPr="00BA657D" w:rsidRDefault="00BA657D">
            <w:pPr>
              <w:jc w:val="center"/>
              <w:rPr>
                <w:bCs/>
                <w:sz w:val="22"/>
                <w:szCs w:val="22"/>
              </w:rPr>
            </w:pPr>
            <w:r w:rsidRPr="00BA657D">
              <w:rPr>
                <w:bCs/>
                <w:sz w:val="22"/>
                <w:szCs w:val="22"/>
              </w:rPr>
              <w:t>2015  г.  Прогноз</w:t>
            </w:r>
          </w:p>
        </w:tc>
        <w:tc>
          <w:tcPr>
            <w:tcW w:w="905" w:type="dxa"/>
            <w:vAlign w:val="center"/>
          </w:tcPr>
          <w:p w:rsidR="00BA657D" w:rsidRPr="00BA657D" w:rsidRDefault="00BA657D">
            <w:pPr>
              <w:jc w:val="center"/>
              <w:rPr>
                <w:bCs/>
                <w:sz w:val="22"/>
                <w:szCs w:val="22"/>
              </w:rPr>
            </w:pPr>
            <w:r w:rsidRPr="00BA657D">
              <w:rPr>
                <w:bCs/>
                <w:sz w:val="22"/>
                <w:szCs w:val="22"/>
              </w:rPr>
              <w:t>2016  г.  Прогноз</w:t>
            </w:r>
          </w:p>
        </w:tc>
      </w:tr>
      <w:tr w:rsidR="00B01717" w:rsidRPr="00B01717" w:rsidTr="005D5372">
        <w:trPr>
          <w:tblCellSpacing w:w="0" w:type="dxa"/>
        </w:trPr>
        <w:tc>
          <w:tcPr>
            <w:tcW w:w="4395" w:type="dxa"/>
            <w:vAlign w:val="center"/>
            <w:hideMark/>
          </w:tcPr>
          <w:p w:rsidR="00B01717" w:rsidRPr="00B01717" w:rsidRDefault="00B01717" w:rsidP="00AB57CB">
            <w:pPr>
              <w:spacing w:before="100" w:beforeAutospacing="1" w:after="100" w:afterAutospacing="1" w:line="312" w:lineRule="atLeast"/>
              <w:jc w:val="center"/>
              <w:rPr>
                <w:sz w:val="22"/>
                <w:szCs w:val="22"/>
              </w:rPr>
            </w:pPr>
            <w:r w:rsidRPr="00B01717">
              <w:rPr>
                <w:sz w:val="22"/>
                <w:szCs w:val="22"/>
              </w:rPr>
              <w:t>1</w:t>
            </w:r>
          </w:p>
        </w:tc>
        <w:tc>
          <w:tcPr>
            <w:tcW w:w="962" w:type="dxa"/>
            <w:vAlign w:val="center"/>
            <w:hideMark/>
          </w:tcPr>
          <w:p w:rsidR="00B01717" w:rsidRPr="00B01717" w:rsidRDefault="00B01717" w:rsidP="00B01717">
            <w:pPr>
              <w:spacing w:before="100" w:beforeAutospacing="1" w:after="100" w:afterAutospacing="1" w:line="312" w:lineRule="atLeast"/>
              <w:jc w:val="center"/>
              <w:rPr>
                <w:sz w:val="22"/>
                <w:szCs w:val="22"/>
              </w:rPr>
            </w:pPr>
            <w:r w:rsidRPr="00B01717">
              <w:rPr>
                <w:sz w:val="22"/>
                <w:szCs w:val="22"/>
              </w:rPr>
              <w:t>2</w:t>
            </w:r>
          </w:p>
        </w:tc>
        <w:tc>
          <w:tcPr>
            <w:tcW w:w="1023" w:type="dxa"/>
            <w:vAlign w:val="center"/>
            <w:hideMark/>
          </w:tcPr>
          <w:p w:rsidR="00B01717" w:rsidRPr="00B01717" w:rsidRDefault="00B01717" w:rsidP="00B01717">
            <w:pPr>
              <w:spacing w:before="100" w:beforeAutospacing="1" w:after="100" w:afterAutospacing="1" w:line="312" w:lineRule="atLeast"/>
              <w:jc w:val="center"/>
              <w:rPr>
                <w:sz w:val="22"/>
                <w:szCs w:val="22"/>
              </w:rPr>
            </w:pPr>
            <w:r w:rsidRPr="00B01717">
              <w:rPr>
                <w:sz w:val="22"/>
                <w:szCs w:val="22"/>
              </w:rPr>
              <w:t>3</w:t>
            </w:r>
          </w:p>
        </w:tc>
        <w:tc>
          <w:tcPr>
            <w:tcW w:w="951" w:type="dxa"/>
            <w:vAlign w:val="center"/>
            <w:hideMark/>
          </w:tcPr>
          <w:p w:rsidR="00B01717" w:rsidRPr="00B01717" w:rsidRDefault="00B01717" w:rsidP="00B01717">
            <w:pPr>
              <w:spacing w:before="100" w:beforeAutospacing="1" w:after="100" w:afterAutospacing="1" w:line="312" w:lineRule="atLeast"/>
              <w:jc w:val="center"/>
              <w:rPr>
                <w:sz w:val="22"/>
                <w:szCs w:val="22"/>
              </w:rPr>
            </w:pPr>
            <w:r w:rsidRPr="00B01717">
              <w:rPr>
                <w:sz w:val="22"/>
                <w:szCs w:val="22"/>
              </w:rPr>
              <w:t>4</w:t>
            </w:r>
          </w:p>
        </w:tc>
        <w:tc>
          <w:tcPr>
            <w:tcW w:w="0" w:type="auto"/>
            <w:vAlign w:val="center"/>
            <w:hideMark/>
          </w:tcPr>
          <w:p w:rsidR="00B01717" w:rsidRPr="00B01717" w:rsidRDefault="00B01717" w:rsidP="00B01717">
            <w:pPr>
              <w:spacing w:before="100" w:beforeAutospacing="1" w:after="100" w:afterAutospacing="1" w:line="312" w:lineRule="atLeast"/>
              <w:jc w:val="center"/>
              <w:rPr>
                <w:sz w:val="22"/>
                <w:szCs w:val="22"/>
              </w:rPr>
            </w:pPr>
            <w:r w:rsidRPr="00B01717">
              <w:rPr>
                <w:sz w:val="22"/>
                <w:szCs w:val="22"/>
              </w:rPr>
              <w:t>5</w:t>
            </w:r>
          </w:p>
        </w:tc>
        <w:tc>
          <w:tcPr>
            <w:tcW w:w="0" w:type="auto"/>
            <w:vAlign w:val="center"/>
            <w:hideMark/>
          </w:tcPr>
          <w:p w:rsidR="00B01717" w:rsidRPr="00B01717" w:rsidRDefault="00B01717" w:rsidP="00B01717">
            <w:pPr>
              <w:spacing w:before="100" w:beforeAutospacing="1" w:after="100" w:afterAutospacing="1" w:line="312" w:lineRule="atLeast"/>
              <w:jc w:val="center"/>
              <w:rPr>
                <w:sz w:val="22"/>
                <w:szCs w:val="22"/>
              </w:rPr>
            </w:pPr>
            <w:r w:rsidRPr="00B01717">
              <w:rPr>
                <w:sz w:val="22"/>
                <w:szCs w:val="22"/>
              </w:rPr>
              <w:t>6</w:t>
            </w:r>
          </w:p>
        </w:tc>
        <w:tc>
          <w:tcPr>
            <w:tcW w:w="905" w:type="dxa"/>
          </w:tcPr>
          <w:p w:rsidR="00B01717" w:rsidRPr="00B01717" w:rsidRDefault="005D5372" w:rsidP="00B01717">
            <w:pPr>
              <w:spacing w:before="100" w:beforeAutospacing="1" w:after="100" w:afterAutospacing="1" w:line="312" w:lineRule="atLeast"/>
              <w:jc w:val="center"/>
              <w:rPr>
                <w:sz w:val="22"/>
                <w:szCs w:val="22"/>
              </w:rPr>
            </w:pPr>
            <w:r>
              <w:rPr>
                <w:sz w:val="22"/>
                <w:szCs w:val="22"/>
              </w:rPr>
              <w:t>7</w:t>
            </w:r>
          </w:p>
        </w:tc>
      </w:tr>
      <w:tr w:rsidR="00B34255" w:rsidRPr="00B01717" w:rsidTr="005D5372">
        <w:trPr>
          <w:tblCellSpacing w:w="0" w:type="dxa"/>
        </w:trPr>
        <w:tc>
          <w:tcPr>
            <w:tcW w:w="4395" w:type="dxa"/>
            <w:vAlign w:val="center"/>
            <w:hideMark/>
          </w:tcPr>
          <w:p w:rsidR="00B34255" w:rsidRPr="00B01717" w:rsidRDefault="00B34255" w:rsidP="00280B4F">
            <w:pPr>
              <w:spacing w:before="100" w:beforeAutospacing="1" w:after="100" w:afterAutospacing="1" w:line="312" w:lineRule="atLeast"/>
              <w:ind w:left="132" w:right="131"/>
              <w:rPr>
                <w:sz w:val="22"/>
                <w:szCs w:val="22"/>
              </w:rPr>
            </w:pPr>
            <w:r w:rsidRPr="00B01717">
              <w:rPr>
                <w:sz w:val="22"/>
                <w:szCs w:val="22"/>
              </w:rPr>
              <w:t>1. Среднесписочная численность работающих, чел.</w:t>
            </w:r>
          </w:p>
        </w:tc>
        <w:tc>
          <w:tcPr>
            <w:tcW w:w="962" w:type="dxa"/>
            <w:vAlign w:val="center"/>
            <w:hideMark/>
          </w:tcPr>
          <w:p w:rsidR="00B34255" w:rsidRPr="00B34255" w:rsidRDefault="00B34255">
            <w:pPr>
              <w:jc w:val="right"/>
            </w:pPr>
            <w:r w:rsidRPr="00B34255">
              <w:t>93,4</w:t>
            </w:r>
          </w:p>
        </w:tc>
        <w:tc>
          <w:tcPr>
            <w:tcW w:w="1023" w:type="dxa"/>
            <w:vAlign w:val="center"/>
            <w:hideMark/>
          </w:tcPr>
          <w:p w:rsidR="00B34255" w:rsidRPr="00B34255" w:rsidRDefault="00B34255">
            <w:pPr>
              <w:jc w:val="right"/>
            </w:pPr>
            <w:r w:rsidRPr="00B34255">
              <w:t>90,1</w:t>
            </w:r>
          </w:p>
        </w:tc>
        <w:tc>
          <w:tcPr>
            <w:tcW w:w="951" w:type="dxa"/>
            <w:vAlign w:val="center"/>
            <w:hideMark/>
          </w:tcPr>
          <w:p w:rsidR="00B34255" w:rsidRPr="00B34255" w:rsidRDefault="00B34255">
            <w:pPr>
              <w:jc w:val="right"/>
            </w:pPr>
            <w:r w:rsidRPr="00B34255">
              <w:t>89,7</w:t>
            </w:r>
          </w:p>
        </w:tc>
        <w:tc>
          <w:tcPr>
            <w:tcW w:w="0" w:type="auto"/>
            <w:vAlign w:val="center"/>
            <w:hideMark/>
          </w:tcPr>
          <w:p w:rsidR="00B34255" w:rsidRPr="00B34255" w:rsidRDefault="00B34255">
            <w:pPr>
              <w:jc w:val="right"/>
            </w:pPr>
            <w:r w:rsidRPr="00B34255">
              <w:t>86,4</w:t>
            </w:r>
          </w:p>
        </w:tc>
        <w:tc>
          <w:tcPr>
            <w:tcW w:w="0" w:type="auto"/>
            <w:vAlign w:val="center"/>
            <w:hideMark/>
          </w:tcPr>
          <w:p w:rsidR="00B34255" w:rsidRPr="00B34255" w:rsidRDefault="00B34255">
            <w:pPr>
              <w:jc w:val="right"/>
            </w:pPr>
            <w:r w:rsidRPr="00B34255">
              <w:t>81,5</w:t>
            </w:r>
          </w:p>
        </w:tc>
        <w:tc>
          <w:tcPr>
            <w:tcW w:w="905" w:type="dxa"/>
            <w:vAlign w:val="center"/>
          </w:tcPr>
          <w:p w:rsidR="00B34255" w:rsidRPr="00B34255" w:rsidRDefault="00B34255">
            <w:pPr>
              <w:jc w:val="right"/>
            </w:pPr>
            <w:r w:rsidRPr="00B34255">
              <w:t>80,4</w:t>
            </w:r>
          </w:p>
        </w:tc>
      </w:tr>
      <w:tr w:rsidR="00B34255" w:rsidRPr="00B01717" w:rsidTr="005D5372">
        <w:trPr>
          <w:tblCellSpacing w:w="0" w:type="dxa"/>
        </w:trPr>
        <w:tc>
          <w:tcPr>
            <w:tcW w:w="4395" w:type="dxa"/>
            <w:vAlign w:val="center"/>
            <w:hideMark/>
          </w:tcPr>
          <w:p w:rsidR="00B34255" w:rsidRPr="00B01717" w:rsidRDefault="00B34255" w:rsidP="00280B4F">
            <w:pPr>
              <w:spacing w:before="100" w:beforeAutospacing="1" w:after="100" w:afterAutospacing="1" w:line="312" w:lineRule="atLeast"/>
              <w:ind w:left="132" w:right="131"/>
              <w:rPr>
                <w:sz w:val="22"/>
                <w:szCs w:val="22"/>
              </w:rPr>
            </w:pPr>
            <w:proofErr w:type="gramStart"/>
            <w:r w:rsidRPr="00B01717">
              <w:rPr>
                <w:sz w:val="22"/>
                <w:szCs w:val="22"/>
              </w:rPr>
              <w:t>в</w:t>
            </w:r>
            <w:proofErr w:type="gramEnd"/>
            <w:r w:rsidRPr="00B01717">
              <w:rPr>
                <w:sz w:val="22"/>
                <w:szCs w:val="22"/>
              </w:rPr>
              <w:t xml:space="preserve">  %  </w:t>
            </w:r>
            <w:proofErr w:type="gramStart"/>
            <w:r w:rsidRPr="00B01717">
              <w:rPr>
                <w:sz w:val="22"/>
                <w:szCs w:val="22"/>
              </w:rPr>
              <w:t>к</w:t>
            </w:r>
            <w:proofErr w:type="gramEnd"/>
            <w:r w:rsidRPr="00B01717">
              <w:rPr>
                <w:sz w:val="22"/>
                <w:szCs w:val="22"/>
              </w:rPr>
              <w:t>  предыдущему  году</w:t>
            </w:r>
          </w:p>
        </w:tc>
        <w:tc>
          <w:tcPr>
            <w:tcW w:w="962" w:type="dxa"/>
            <w:vAlign w:val="center"/>
            <w:hideMark/>
          </w:tcPr>
          <w:p w:rsidR="00B34255" w:rsidRPr="00B34255" w:rsidRDefault="00B34255">
            <w:pPr>
              <w:rPr>
                <w:color w:val="000000"/>
              </w:rPr>
            </w:pPr>
            <w:r w:rsidRPr="00B34255">
              <w:rPr>
                <w:color w:val="000000"/>
              </w:rPr>
              <w:t> </w:t>
            </w:r>
          </w:p>
        </w:tc>
        <w:tc>
          <w:tcPr>
            <w:tcW w:w="1023" w:type="dxa"/>
            <w:vAlign w:val="center"/>
            <w:hideMark/>
          </w:tcPr>
          <w:p w:rsidR="00B34255" w:rsidRPr="00B34255" w:rsidRDefault="00B34255">
            <w:pPr>
              <w:jc w:val="right"/>
              <w:rPr>
                <w:color w:val="000000"/>
              </w:rPr>
            </w:pPr>
            <w:r w:rsidRPr="00B34255">
              <w:rPr>
                <w:color w:val="000000"/>
              </w:rPr>
              <w:t>96,5</w:t>
            </w:r>
          </w:p>
        </w:tc>
        <w:tc>
          <w:tcPr>
            <w:tcW w:w="951" w:type="dxa"/>
            <w:vAlign w:val="center"/>
            <w:hideMark/>
          </w:tcPr>
          <w:p w:rsidR="00B34255" w:rsidRPr="00B34255" w:rsidRDefault="00B34255">
            <w:pPr>
              <w:jc w:val="right"/>
              <w:rPr>
                <w:color w:val="000000"/>
              </w:rPr>
            </w:pPr>
            <w:r w:rsidRPr="00B34255">
              <w:rPr>
                <w:color w:val="000000"/>
              </w:rPr>
              <w:t>99,5</w:t>
            </w:r>
          </w:p>
        </w:tc>
        <w:tc>
          <w:tcPr>
            <w:tcW w:w="0" w:type="auto"/>
            <w:vAlign w:val="center"/>
            <w:hideMark/>
          </w:tcPr>
          <w:p w:rsidR="00B34255" w:rsidRPr="00B34255" w:rsidRDefault="00B34255">
            <w:pPr>
              <w:jc w:val="right"/>
              <w:rPr>
                <w:color w:val="000000"/>
              </w:rPr>
            </w:pPr>
            <w:r w:rsidRPr="00B34255">
              <w:rPr>
                <w:color w:val="000000"/>
              </w:rPr>
              <w:t>96,3</w:t>
            </w:r>
          </w:p>
        </w:tc>
        <w:tc>
          <w:tcPr>
            <w:tcW w:w="0" w:type="auto"/>
            <w:vAlign w:val="center"/>
            <w:hideMark/>
          </w:tcPr>
          <w:p w:rsidR="00B34255" w:rsidRPr="00B34255" w:rsidRDefault="00B34255">
            <w:pPr>
              <w:jc w:val="right"/>
              <w:rPr>
                <w:color w:val="000000"/>
              </w:rPr>
            </w:pPr>
            <w:r w:rsidRPr="00B34255">
              <w:rPr>
                <w:color w:val="000000"/>
              </w:rPr>
              <w:t>94,4</w:t>
            </w:r>
          </w:p>
        </w:tc>
        <w:tc>
          <w:tcPr>
            <w:tcW w:w="905" w:type="dxa"/>
            <w:vAlign w:val="center"/>
          </w:tcPr>
          <w:p w:rsidR="00B34255" w:rsidRPr="00B34255" w:rsidRDefault="00B34255">
            <w:pPr>
              <w:jc w:val="right"/>
              <w:rPr>
                <w:color w:val="000000"/>
              </w:rPr>
            </w:pPr>
            <w:r w:rsidRPr="00B34255">
              <w:rPr>
                <w:color w:val="000000"/>
              </w:rPr>
              <w:t>98,7</w:t>
            </w:r>
          </w:p>
        </w:tc>
      </w:tr>
      <w:tr w:rsidR="00B34255" w:rsidRPr="00B01717" w:rsidTr="005D5372">
        <w:trPr>
          <w:tblCellSpacing w:w="0" w:type="dxa"/>
        </w:trPr>
        <w:tc>
          <w:tcPr>
            <w:tcW w:w="4395" w:type="dxa"/>
            <w:vAlign w:val="center"/>
            <w:hideMark/>
          </w:tcPr>
          <w:p w:rsidR="00B34255" w:rsidRPr="00B01717" w:rsidRDefault="00B34255" w:rsidP="00280B4F">
            <w:pPr>
              <w:spacing w:before="100" w:beforeAutospacing="1" w:after="100" w:afterAutospacing="1" w:line="312" w:lineRule="atLeast"/>
              <w:ind w:left="132" w:right="131"/>
              <w:rPr>
                <w:sz w:val="22"/>
                <w:szCs w:val="22"/>
              </w:rPr>
            </w:pPr>
            <w:r w:rsidRPr="00B01717">
              <w:rPr>
                <w:sz w:val="22"/>
                <w:szCs w:val="22"/>
              </w:rPr>
              <w:t>2.Фонд заработной платы работников крупных и средних предприятий, тыс. руб.*</w:t>
            </w:r>
          </w:p>
        </w:tc>
        <w:tc>
          <w:tcPr>
            <w:tcW w:w="962" w:type="dxa"/>
            <w:vAlign w:val="center"/>
            <w:hideMark/>
          </w:tcPr>
          <w:p w:rsidR="00B34255" w:rsidRPr="00B34255" w:rsidRDefault="00B34255">
            <w:pPr>
              <w:jc w:val="right"/>
            </w:pPr>
            <w:r w:rsidRPr="00B34255">
              <w:t>7133,5</w:t>
            </w:r>
          </w:p>
        </w:tc>
        <w:tc>
          <w:tcPr>
            <w:tcW w:w="1023" w:type="dxa"/>
            <w:vAlign w:val="center"/>
            <w:hideMark/>
          </w:tcPr>
          <w:p w:rsidR="00B34255" w:rsidRPr="00B34255" w:rsidRDefault="00B34255">
            <w:pPr>
              <w:jc w:val="right"/>
            </w:pPr>
            <w:r w:rsidRPr="00B34255">
              <w:t>8250,0</w:t>
            </w:r>
          </w:p>
        </w:tc>
        <w:tc>
          <w:tcPr>
            <w:tcW w:w="951" w:type="dxa"/>
            <w:vAlign w:val="center"/>
            <w:hideMark/>
          </w:tcPr>
          <w:p w:rsidR="00B34255" w:rsidRPr="00B34255" w:rsidRDefault="00B34255">
            <w:pPr>
              <w:jc w:val="right"/>
            </w:pPr>
            <w:r w:rsidRPr="00B34255">
              <w:t>8827,5</w:t>
            </w:r>
          </w:p>
        </w:tc>
        <w:tc>
          <w:tcPr>
            <w:tcW w:w="0" w:type="auto"/>
            <w:vAlign w:val="center"/>
            <w:hideMark/>
          </w:tcPr>
          <w:p w:rsidR="00B34255" w:rsidRPr="00B34255" w:rsidRDefault="00B34255">
            <w:pPr>
              <w:jc w:val="right"/>
            </w:pPr>
            <w:r w:rsidRPr="00B34255">
              <w:t>9092,4</w:t>
            </w:r>
          </w:p>
        </w:tc>
        <w:tc>
          <w:tcPr>
            <w:tcW w:w="0" w:type="auto"/>
            <w:vAlign w:val="center"/>
            <w:hideMark/>
          </w:tcPr>
          <w:p w:rsidR="00B34255" w:rsidRPr="00B34255" w:rsidRDefault="00B34255">
            <w:pPr>
              <w:jc w:val="right"/>
            </w:pPr>
            <w:r w:rsidRPr="00B34255">
              <w:t>9547,0</w:t>
            </w:r>
          </w:p>
        </w:tc>
        <w:tc>
          <w:tcPr>
            <w:tcW w:w="905" w:type="dxa"/>
            <w:vAlign w:val="center"/>
          </w:tcPr>
          <w:p w:rsidR="00B34255" w:rsidRPr="00B34255" w:rsidRDefault="00B34255">
            <w:pPr>
              <w:jc w:val="right"/>
            </w:pPr>
            <w:r w:rsidRPr="00B34255">
              <w:t>10024,3</w:t>
            </w:r>
          </w:p>
        </w:tc>
      </w:tr>
      <w:tr w:rsidR="00B34255" w:rsidRPr="00B01717" w:rsidTr="005D5372">
        <w:trPr>
          <w:tblCellSpacing w:w="0" w:type="dxa"/>
        </w:trPr>
        <w:tc>
          <w:tcPr>
            <w:tcW w:w="4395" w:type="dxa"/>
            <w:vAlign w:val="center"/>
            <w:hideMark/>
          </w:tcPr>
          <w:p w:rsidR="00B34255" w:rsidRPr="00B01717" w:rsidRDefault="00B34255" w:rsidP="00280B4F">
            <w:pPr>
              <w:spacing w:before="100" w:beforeAutospacing="1" w:after="100" w:afterAutospacing="1" w:line="312" w:lineRule="atLeast"/>
              <w:ind w:left="132" w:right="131"/>
              <w:rPr>
                <w:sz w:val="22"/>
                <w:szCs w:val="22"/>
              </w:rPr>
            </w:pPr>
            <w:r w:rsidRPr="00B01717">
              <w:rPr>
                <w:sz w:val="22"/>
                <w:szCs w:val="22"/>
              </w:rPr>
              <w:t>3. Среднемесячная заработная плата работающих, руб.*</w:t>
            </w:r>
          </w:p>
        </w:tc>
        <w:tc>
          <w:tcPr>
            <w:tcW w:w="962" w:type="dxa"/>
            <w:vAlign w:val="center"/>
            <w:hideMark/>
          </w:tcPr>
          <w:p w:rsidR="00B34255" w:rsidRPr="00B34255" w:rsidRDefault="00B34255">
            <w:pPr>
              <w:jc w:val="right"/>
            </w:pPr>
            <w:r w:rsidRPr="00B34255">
              <w:t>6361,9</w:t>
            </w:r>
          </w:p>
        </w:tc>
        <w:tc>
          <w:tcPr>
            <w:tcW w:w="1023" w:type="dxa"/>
            <w:vAlign w:val="center"/>
            <w:hideMark/>
          </w:tcPr>
          <w:p w:rsidR="00B34255" w:rsidRPr="00B34255" w:rsidRDefault="00B34255">
            <w:pPr>
              <w:jc w:val="right"/>
            </w:pPr>
            <w:r w:rsidRPr="00B34255">
              <w:t>7627,0</w:t>
            </w:r>
          </w:p>
        </w:tc>
        <w:tc>
          <w:tcPr>
            <w:tcW w:w="951" w:type="dxa"/>
            <w:vAlign w:val="center"/>
            <w:hideMark/>
          </w:tcPr>
          <w:p w:rsidR="00B34255" w:rsidRPr="00B34255" w:rsidRDefault="00B34255">
            <w:pPr>
              <w:jc w:val="right"/>
            </w:pPr>
            <w:r w:rsidRPr="00B34255">
              <w:t>8205,5</w:t>
            </w:r>
          </w:p>
        </w:tc>
        <w:tc>
          <w:tcPr>
            <w:tcW w:w="0" w:type="auto"/>
            <w:vAlign w:val="center"/>
            <w:hideMark/>
          </w:tcPr>
          <w:p w:rsidR="00B34255" w:rsidRPr="00B34255" w:rsidRDefault="00B34255">
            <w:pPr>
              <w:jc w:val="right"/>
            </w:pPr>
            <w:r w:rsidRPr="00B34255">
              <w:t>8774,7</w:t>
            </w:r>
          </w:p>
        </w:tc>
        <w:tc>
          <w:tcPr>
            <w:tcW w:w="0" w:type="auto"/>
            <w:vAlign w:val="center"/>
            <w:hideMark/>
          </w:tcPr>
          <w:p w:rsidR="00B34255" w:rsidRPr="00B34255" w:rsidRDefault="00B34255">
            <w:pPr>
              <w:jc w:val="right"/>
            </w:pPr>
            <w:r w:rsidRPr="00B34255">
              <w:t>9761,7</w:t>
            </w:r>
          </w:p>
        </w:tc>
        <w:tc>
          <w:tcPr>
            <w:tcW w:w="905" w:type="dxa"/>
            <w:vAlign w:val="center"/>
          </w:tcPr>
          <w:p w:rsidR="00B34255" w:rsidRPr="00B34255" w:rsidRDefault="00B34255">
            <w:pPr>
              <w:jc w:val="right"/>
            </w:pPr>
            <w:r w:rsidRPr="00B34255">
              <w:t>10384,9</w:t>
            </w:r>
          </w:p>
        </w:tc>
      </w:tr>
      <w:tr w:rsidR="00B34255" w:rsidRPr="00B01717" w:rsidTr="005D5372">
        <w:trPr>
          <w:tblCellSpacing w:w="0" w:type="dxa"/>
        </w:trPr>
        <w:tc>
          <w:tcPr>
            <w:tcW w:w="4395" w:type="dxa"/>
            <w:vAlign w:val="center"/>
            <w:hideMark/>
          </w:tcPr>
          <w:p w:rsidR="00B34255" w:rsidRPr="00B01717" w:rsidRDefault="00B34255" w:rsidP="00BA657D">
            <w:pPr>
              <w:spacing w:before="100" w:beforeAutospacing="1" w:after="100" w:afterAutospacing="1" w:line="312" w:lineRule="atLeast"/>
              <w:ind w:left="132" w:right="131"/>
              <w:rPr>
                <w:sz w:val="22"/>
                <w:szCs w:val="22"/>
              </w:rPr>
            </w:pPr>
            <w:r w:rsidRPr="00B01717">
              <w:rPr>
                <w:sz w:val="22"/>
                <w:szCs w:val="22"/>
              </w:rPr>
              <w:t>4. темп роста среднемесячной заработной платы,% к соответствующему периоду прошлого года</w:t>
            </w:r>
          </w:p>
        </w:tc>
        <w:tc>
          <w:tcPr>
            <w:tcW w:w="962" w:type="dxa"/>
            <w:vAlign w:val="center"/>
            <w:hideMark/>
          </w:tcPr>
          <w:p w:rsidR="00B34255" w:rsidRPr="00B34255" w:rsidRDefault="00B34255">
            <w:pPr>
              <w:rPr>
                <w:color w:val="000000"/>
              </w:rPr>
            </w:pPr>
            <w:r w:rsidRPr="00B34255">
              <w:rPr>
                <w:color w:val="000000"/>
              </w:rPr>
              <w:t> </w:t>
            </w:r>
          </w:p>
        </w:tc>
        <w:tc>
          <w:tcPr>
            <w:tcW w:w="1023" w:type="dxa"/>
            <w:vAlign w:val="center"/>
            <w:hideMark/>
          </w:tcPr>
          <w:p w:rsidR="00B34255" w:rsidRPr="00B34255" w:rsidRDefault="00B34255">
            <w:pPr>
              <w:jc w:val="right"/>
              <w:rPr>
                <w:color w:val="000000"/>
              </w:rPr>
            </w:pPr>
            <w:r w:rsidRPr="00B34255">
              <w:rPr>
                <w:color w:val="000000"/>
              </w:rPr>
              <w:t>119,9</w:t>
            </w:r>
          </w:p>
        </w:tc>
        <w:tc>
          <w:tcPr>
            <w:tcW w:w="951" w:type="dxa"/>
            <w:vAlign w:val="center"/>
            <w:hideMark/>
          </w:tcPr>
          <w:p w:rsidR="00B34255" w:rsidRPr="00B34255" w:rsidRDefault="00B34255">
            <w:pPr>
              <w:jc w:val="right"/>
              <w:rPr>
                <w:color w:val="000000"/>
              </w:rPr>
            </w:pPr>
            <w:r w:rsidRPr="00B34255">
              <w:rPr>
                <w:color w:val="000000"/>
              </w:rPr>
              <w:t>107,6</w:t>
            </w:r>
          </w:p>
        </w:tc>
        <w:tc>
          <w:tcPr>
            <w:tcW w:w="0" w:type="auto"/>
            <w:vAlign w:val="center"/>
            <w:hideMark/>
          </w:tcPr>
          <w:p w:rsidR="00B34255" w:rsidRPr="00B34255" w:rsidRDefault="00B34255">
            <w:pPr>
              <w:jc w:val="right"/>
              <w:rPr>
                <w:color w:val="000000"/>
              </w:rPr>
            </w:pPr>
            <w:r w:rsidRPr="00B34255">
              <w:rPr>
                <w:color w:val="000000"/>
              </w:rPr>
              <w:t>106,9</w:t>
            </w:r>
          </w:p>
        </w:tc>
        <w:tc>
          <w:tcPr>
            <w:tcW w:w="0" w:type="auto"/>
            <w:vAlign w:val="center"/>
            <w:hideMark/>
          </w:tcPr>
          <w:p w:rsidR="00B34255" w:rsidRPr="00B34255" w:rsidRDefault="00B34255">
            <w:pPr>
              <w:jc w:val="right"/>
              <w:rPr>
                <w:color w:val="000000"/>
              </w:rPr>
            </w:pPr>
            <w:r w:rsidRPr="00B34255">
              <w:rPr>
                <w:color w:val="000000"/>
              </w:rPr>
              <w:t>111,2</w:t>
            </w:r>
          </w:p>
        </w:tc>
        <w:tc>
          <w:tcPr>
            <w:tcW w:w="905" w:type="dxa"/>
            <w:vAlign w:val="center"/>
          </w:tcPr>
          <w:p w:rsidR="00B34255" w:rsidRPr="00B34255" w:rsidRDefault="00B34255">
            <w:pPr>
              <w:jc w:val="right"/>
              <w:rPr>
                <w:color w:val="000000"/>
              </w:rPr>
            </w:pPr>
            <w:r w:rsidRPr="00B34255">
              <w:rPr>
                <w:color w:val="000000"/>
              </w:rPr>
              <w:t>106,4</w:t>
            </w:r>
          </w:p>
        </w:tc>
      </w:tr>
    </w:tbl>
    <w:p w:rsidR="005425E8" w:rsidRPr="005425E8" w:rsidRDefault="00B01717" w:rsidP="005D5372">
      <w:pPr>
        <w:spacing w:before="100" w:beforeAutospacing="1" w:after="100" w:afterAutospacing="1" w:line="276" w:lineRule="auto"/>
        <w:ind w:left="-142" w:right="-143" w:firstLine="709"/>
        <w:jc w:val="both"/>
        <w:rPr>
          <w:sz w:val="28"/>
          <w:szCs w:val="28"/>
        </w:rPr>
      </w:pPr>
      <w:r w:rsidRPr="00B01717">
        <w:rPr>
          <w:color w:val="444444"/>
          <w:sz w:val="22"/>
          <w:szCs w:val="22"/>
        </w:rPr>
        <w:t> </w:t>
      </w:r>
      <w:r w:rsidR="005425E8" w:rsidRPr="005425E8">
        <w:rPr>
          <w:sz w:val="28"/>
          <w:szCs w:val="28"/>
        </w:rPr>
        <w:t>Расходы бюджета поселения сформированы исходя из основных показателей прогноза социально-экономического развития поселения на 2014 год и плановый период 2015-2016 годов, основных направлений бюджетной и налоговой политики на 2014 год и плановый период 2015-2016 годов.</w:t>
      </w:r>
    </w:p>
    <w:p w:rsidR="005D5372"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При проектировке объемных показателей по расходам на 2014 год учитывается следующее:</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повышение заработной платы категорий работников бюджетной сферы в рамках реализации Указов Президента Российской Федерации от 7 мая 2012 года;</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рост заработной платы отдельных категорий работников бюджетной сферы, не вошедших в категории работников, повышение заработной платы которых определено Указами Президента Российской Федерации от 7 мая 2012, на 5,0 процентов с 1 октября 2014 года;</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публичные обязательства, расходы на питание и медикаменты индексируются на 5,0 процентов с 1 января 2014 года;</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lastRenderedPageBreak/>
        <w:t>- коммунальные услуги учтены с ростом 12 процентов с 1 июля 2014 года.</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На 2015-2016 годы учитывается следующее:</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повышение заработной платы категорий работников бюджетной сферы в рамках реализации Указов Президента Российской Федерации от 7 мая 2012 года;</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рост заработной платы отдельных категорий работников бюджетной сферы, не вошедших в категории работников, повышение заработной платы которых определено Указами Президента Российской Федерации от 7 мая 2012, на 5,0 процентов с 1 октября 2015 года и с 1 октября 2016 года;</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публичные обязательства, расходы на питание и медикаменты индексируются с 1 января 2015 года и с 1 января 2016 года на 5,0 процентов;</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коммунальные услуги учтены с ростом 12 процентов с 1 июля в 2015 и 2016 годах.</w:t>
      </w:r>
    </w:p>
    <w:p w:rsidR="005425E8" w:rsidRPr="005425E8" w:rsidRDefault="005425E8" w:rsidP="005D5372">
      <w:pPr>
        <w:spacing w:before="100" w:beforeAutospacing="1" w:after="100" w:afterAutospacing="1" w:line="276" w:lineRule="auto"/>
        <w:ind w:left="-142" w:right="-143" w:firstLine="709"/>
        <w:jc w:val="both"/>
        <w:rPr>
          <w:sz w:val="28"/>
          <w:szCs w:val="28"/>
        </w:rPr>
      </w:pPr>
      <w:proofErr w:type="gramStart"/>
      <w:r w:rsidRPr="005425E8">
        <w:rPr>
          <w:sz w:val="28"/>
          <w:szCs w:val="28"/>
        </w:rPr>
        <w:t xml:space="preserve">В связи с принятием Федерального закона Российской Федерации от 07.05.2013г. №104-ФЗ «О внесении изменений в Бюджетный кодекс Российской Федерации в связи с совершенствованием бюджетного процесса» внесены изменения в Бюджетный кодекс Российской </w:t>
      </w:r>
      <w:r w:rsidR="000A6C9E">
        <w:rPr>
          <w:sz w:val="28"/>
          <w:szCs w:val="28"/>
        </w:rPr>
        <w:t>Федерации, предусматривающие</w:t>
      </w:r>
      <w:r w:rsidRPr="005425E8">
        <w:rPr>
          <w:sz w:val="28"/>
          <w:szCs w:val="28"/>
        </w:rPr>
        <w:t xml:space="preserve"> изменения в положения о классификации расходов в части видов расходов и переход к программно-целевому принципу составления бюджетов.</w:t>
      </w:r>
      <w:proofErr w:type="gramEnd"/>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 xml:space="preserve">Субъектам Российской Федерации в 2014 году предоставлена возможность </w:t>
      </w:r>
      <w:proofErr w:type="gramStart"/>
      <w:r w:rsidRPr="005425E8">
        <w:rPr>
          <w:sz w:val="28"/>
          <w:szCs w:val="28"/>
        </w:rPr>
        <w:t>выбора формата утверждения бюджета субъекта Российской Федерации</w:t>
      </w:r>
      <w:proofErr w:type="gramEnd"/>
      <w:r w:rsidRPr="005425E8">
        <w:rPr>
          <w:sz w:val="28"/>
          <w:szCs w:val="28"/>
        </w:rPr>
        <w:t xml:space="preserve"> либо в традиционной структуре, либо в программном формате на основе государственных программ. Бюджет поселения на 2014 год составлен в соответствии с Бюджетным кодексом Российской Федерации в традиционной форме.</w:t>
      </w:r>
    </w:p>
    <w:p w:rsidR="005425E8" w:rsidRPr="005425E8" w:rsidRDefault="005425E8" w:rsidP="005D5372">
      <w:pPr>
        <w:spacing w:before="100" w:beforeAutospacing="1" w:after="100" w:afterAutospacing="1" w:line="276" w:lineRule="auto"/>
        <w:ind w:left="-142" w:right="-143" w:firstLine="709"/>
        <w:jc w:val="both"/>
        <w:rPr>
          <w:sz w:val="28"/>
          <w:szCs w:val="28"/>
        </w:rPr>
      </w:pPr>
      <w:proofErr w:type="gramStart"/>
      <w:r w:rsidRPr="005425E8">
        <w:rPr>
          <w:sz w:val="28"/>
          <w:szCs w:val="28"/>
        </w:rPr>
        <w:t>На 2014 год устанавливаются единые для всех бюджетов бюджетной системы Российской Федерации коды видов расходов классификации расходов бюджетов, утвержденные приказом Министерства финансов Российской Федерации от 01.07.2013г. №65н «Об утверждении Указаний о порядке применения бюджетной классификации Российской Федерации на 2014 год и на плановый период 2015 и 2016 годов».</w:t>
      </w:r>
      <w:proofErr w:type="gramEnd"/>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lastRenderedPageBreak/>
        <w:t>Распределение расходной части бюджета поселения на 2014-2016 годы в части групп видов расходов произведено в соответствии с указанным Приказом Министерства финансов Российской Федерации.</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На основе данных параметров сформирована расходная часть бюджета поселения на 2014 год и на плановый период 2015 и 2016 годов.</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b/>
          <w:bCs/>
          <w:sz w:val="28"/>
          <w:szCs w:val="28"/>
        </w:rPr>
        <w:t xml:space="preserve">          </w:t>
      </w:r>
      <w:r w:rsidR="0078586F">
        <w:rPr>
          <w:b/>
          <w:bCs/>
          <w:sz w:val="28"/>
          <w:szCs w:val="28"/>
        </w:rPr>
        <w:t>3</w:t>
      </w:r>
      <w:r w:rsidRPr="005425E8">
        <w:rPr>
          <w:b/>
          <w:bCs/>
          <w:sz w:val="28"/>
          <w:szCs w:val="28"/>
        </w:rPr>
        <w:t>.</w:t>
      </w:r>
      <w:r w:rsidR="0078586F">
        <w:rPr>
          <w:b/>
          <w:bCs/>
          <w:sz w:val="28"/>
          <w:szCs w:val="28"/>
        </w:rPr>
        <w:t xml:space="preserve"> </w:t>
      </w:r>
      <w:r w:rsidRPr="005425E8">
        <w:rPr>
          <w:b/>
          <w:bCs/>
          <w:sz w:val="28"/>
          <w:szCs w:val="28"/>
        </w:rPr>
        <w:t>Доходы проекта бюджета сельского поселения</w:t>
      </w:r>
    </w:p>
    <w:p w:rsidR="005425E8" w:rsidRPr="005425E8" w:rsidRDefault="005425E8" w:rsidP="005D5372">
      <w:pPr>
        <w:spacing w:before="100" w:beforeAutospacing="1" w:after="100" w:afterAutospacing="1" w:line="276" w:lineRule="auto"/>
        <w:ind w:left="-142" w:right="-143" w:firstLine="709"/>
        <w:jc w:val="both"/>
        <w:rPr>
          <w:sz w:val="28"/>
          <w:szCs w:val="28"/>
        </w:rPr>
      </w:pPr>
      <w:proofErr w:type="gramStart"/>
      <w:r w:rsidRPr="005425E8">
        <w:rPr>
          <w:sz w:val="28"/>
          <w:szCs w:val="28"/>
        </w:rPr>
        <w:t>Доходы бюджета сельского поселения на 2014 год планируют</w:t>
      </w:r>
      <w:r w:rsidR="002201E2">
        <w:rPr>
          <w:sz w:val="28"/>
          <w:szCs w:val="28"/>
        </w:rPr>
        <w:t xml:space="preserve">ся в сумме </w:t>
      </w:r>
      <w:r w:rsidR="00BA4792">
        <w:rPr>
          <w:sz w:val="28"/>
          <w:szCs w:val="28"/>
        </w:rPr>
        <w:t>2068,4</w:t>
      </w:r>
      <w:r w:rsidR="002201E2">
        <w:rPr>
          <w:sz w:val="28"/>
          <w:szCs w:val="28"/>
        </w:rPr>
        <w:t xml:space="preserve"> </w:t>
      </w:r>
      <w:r w:rsidRPr="005425E8">
        <w:rPr>
          <w:sz w:val="28"/>
          <w:szCs w:val="28"/>
        </w:rPr>
        <w:t xml:space="preserve">тыс. руб., в том числе: налоговые доходы определены в сумме </w:t>
      </w:r>
      <w:r w:rsidR="00382A78">
        <w:rPr>
          <w:sz w:val="28"/>
          <w:szCs w:val="28"/>
        </w:rPr>
        <w:t>407</w:t>
      </w:r>
      <w:r w:rsidRPr="005425E8">
        <w:rPr>
          <w:sz w:val="28"/>
          <w:szCs w:val="28"/>
        </w:rPr>
        <w:t>,0 тыс. руб.   (</w:t>
      </w:r>
      <w:r w:rsidR="00382A78">
        <w:rPr>
          <w:sz w:val="28"/>
          <w:szCs w:val="28"/>
        </w:rPr>
        <w:t>19,7</w:t>
      </w:r>
      <w:r w:rsidRPr="005425E8">
        <w:rPr>
          <w:sz w:val="28"/>
          <w:szCs w:val="28"/>
        </w:rPr>
        <w:t xml:space="preserve"> % в структуре доходов), и неналоговые доходы определены в сумме </w:t>
      </w:r>
      <w:r w:rsidR="00382A78">
        <w:rPr>
          <w:sz w:val="28"/>
          <w:szCs w:val="28"/>
        </w:rPr>
        <w:t>88</w:t>
      </w:r>
      <w:r w:rsidRPr="005425E8">
        <w:rPr>
          <w:sz w:val="28"/>
          <w:szCs w:val="28"/>
        </w:rPr>
        <w:t>,0 тыс. руб. (</w:t>
      </w:r>
      <w:r w:rsidR="00382A78">
        <w:rPr>
          <w:sz w:val="28"/>
          <w:szCs w:val="28"/>
        </w:rPr>
        <w:t>4,3</w:t>
      </w:r>
      <w:r w:rsidRPr="005425E8">
        <w:rPr>
          <w:sz w:val="28"/>
          <w:szCs w:val="28"/>
        </w:rPr>
        <w:t xml:space="preserve"> % в структуре доходов), безвозмездные поступления определены в сумме </w:t>
      </w:r>
      <w:r w:rsidR="00382A78">
        <w:rPr>
          <w:sz w:val="28"/>
          <w:szCs w:val="28"/>
        </w:rPr>
        <w:t>1573,4</w:t>
      </w:r>
      <w:r w:rsidRPr="005425E8">
        <w:rPr>
          <w:sz w:val="28"/>
          <w:szCs w:val="28"/>
        </w:rPr>
        <w:t xml:space="preserve"> тыс. руб. (</w:t>
      </w:r>
      <w:r w:rsidR="00382A78">
        <w:rPr>
          <w:sz w:val="28"/>
          <w:szCs w:val="28"/>
        </w:rPr>
        <w:t>76,1</w:t>
      </w:r>
      <w:r w:rsidR="002201E2">
        <w:rPr>
          <w:sz w:val="28"/>
          <w:szCs w:val="28"/>
        </w:rPr>
        <w:t xml:space="preserve"> </w:t>
      </w:r>
      <w:r w:rsidRPr="005425E8">
        <w:rPr>
          <w:sz w:val="28"/>
          <w:szCs w:val="28"/>
        </w:rPr>
        <w:t>% в структуре доходов).</w:t>
      </w:r>
      <w:proofErr w:type="gramEnd"/>
      <w:r w:rsidRPr="005425E8">
        <w:rPr>
          <w:sz w:val="28"/>
          <w:szCs w:val="28"/>
        </w:rPr>
        <w:t xml:space="preserve"> Прогнозный объем доходов на 2015 год составляет   </w:t>
      </w:r>
      <w:r w:rsidR="00BA4792">
        <w:rPr>
          <w:sz w:val="28"/>
          <w:szCs w:val="28"/>
        </w:rPr>
        <w:t>2010,5</w:t>
      </w:r>
      <w:r w:rsidRPr="005425E8">
        <w:rPr>
          <w:sz w:val="28"/>
          <w:szCs w:val="28"/>
        </w:rPr>
        <w:t xml:space="preserve"> тыс. руб., на 2016 год </w:t>
      </w:r>
      <w:r w:rsidR="002201E2">
        <w:rPr>
          <w:sz w:val="28"/>
          <w:szCs w:val="28"/>
        </w:rPr>
        <w:t>–</w:t>
      </w:r>
      <w:r w:rsidRPr="005425E8">
        <w:rPr>
          <w:sz w:val="28"/>
          <w:szCs w:val="28"/>
        </w:rPr>
        <w:t xml:space="preserve"> </w:t>
      </w:r>
      <w:r w:rsidR="00BA4792">
        <w:rPr>
          <w:sz w:val="28"/>
          <w:szCs w:val="28"/>
        </w:rPr>
        <w:t>2056,2</w:t>
      </w:r>
      <w:r w:rsidRPr="005425E8">
        <w:rPr>
          <w:sz w:val="28"/>
          <w:szCs w:val="28"/>
        </w:rPr>
        <w:t xml:space="preserve"> тыс. руб.     </w:t>
      </w:r>
    </w:p>
    <w:p w:rsidR="005425E8" w:rsidRPr="005425E8"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Проектом бюджета сельского поселения</w:t>
      </w:r>
      <w:r w:rsidRPr="005425E8">
        <w:rPr>
          <w:b/>
          <w:bCs/>
          <w:sz w:val="28"/>
          <w:szCs w:val="28"/>
        </w:rPr>
        <w:t xml:space="preserve"> </w:t>
      </w:r>
      <w:r w:rsidRPr="005425E8">
        <w:rPr>
          <w:sz w:val="28"/>
          <w:szCs w:val="28"/>
        </w:rPr>
        <w:t xml:space="preserve">предлагается утвердить на 2014 год Перечень главных администраторов доходов бюджета поселения включающий </w:t>
      </w:r>
      <w:r w:rsidR="000A6C9E">
        <w:rPr>
          <w:sz w:val="28"/>
          <w:szCs w:val="28"/>
        </w:rPr>
        <w:t xml:space="preserve">4 главных администратора </w:t>
      </w:r>
      <w:r w:rsidRPr="005425E8">
        <w:rPr>
          <w:sz w:val="28"/>
          <w:szCs w:val="28"/>
        </w:rPr>
        <w:t>доходов бюджета (коды: 1</w:t>
      </w:r>
      <w:r w:rsidR="001372CC">
        <w:rPr>
          <w:sz w:val="28"/>
          <w:szCs w:val="28"/>
        </w:rPr>
        <w:t>6</w:t>
      </w:r>
      <w:r w:rsidRPr="005425E8">
        <w:rPr>
          <w:sz w:val="28"/>
          <w:szCs w:val="28"/>
        </w:rPr>
        <w:t xml:space="preserve">2, </w:t>
      </w:r>
      <w:r w:rsidR="001372CC">
        <w:rPr>
          <w:sz w:val="28"/>
          <w:szCs w:val="28"/>
        </w:rPr>
        <w:t>182, 605</w:t>
      </w:r>
      <w:r w:rsidRPr="005425E8">
        <w:rPr>
          <w:sz w:val="28"/>
          <w:szCs w:val="28"/>
        </w:rPr>
        <w:t xml:space="preserve">, </w:t>
      </w:r>
      <w:r w:rsidR="001372CC">
        <w:rPr>
          <w:sz w:val="28"/>
          <w:szCs w:val="28"/>
        </w:rPr>
        <w:t>711</w:t>
      </w:r>
      <w:r w:rsidRPr="005425E8">
        <w:rPr>
          <w:sz w:val="28"/>
          <w:szCs w:val="28"/>
        </w:rPr>
        <w:t>).</w:t>
      </w:r>
    </w:p>
    <w:p w:rsidR="005425E8" w:rsidRPr="001372CC" w:rsidRDefault="005425E8" w:rsidP="005D5372">
      <w:pPr>
        <w:spacing w:before="100" w:beforeAutospacing="1" w:after="100" w:afterAutospacing="1" w:line="276" w:lineRule="auto"/>
        <w:ind w:left="-142" w:right="-143" w:firstLine="709"/>
        <w:jc w:val="both"/>
        <w:rPr>
          <w:sz w:val="28"/>
          <w:szCs w:val="28"/>
        </w:rPr>
      </w:pPr>
      <w:r w:rsidRPr="005425E8">
        <w:rPr>
          <w:sz w:val="28"/>
          <w:szCs w:val="28"/>
        </w:rPr>
        <w:t>Структура доходной части бюджета</w:t>
      </w:r>
      <w:r w:rsidRPr="005425E8">
        <w:rPr>
          <w:b/>
          <w:bCs/>
          <w:sz w:val="28"/>
          <w:szCs w:val="28"/>
        </w:rPr>
        <w:t xml:space="preserve"> </w:t>
      </w:r>
      <w:r w:rsidRPr="005425E8">
        <w:rPr>
          <w:sz w:val="28"/>
          <w:szCs w:val="28"/>
        </w:rPr>
        <w:t xml:space="preserve">сельского поселения на 2014 год и </w:t>
      </w:r>
      <w:r w:rsidRPr="0078586F">
        <w:rPr>
          <w:sz w:val="28"/>
          <w:szCs w:val="28"/>
        </w:rPr>
        <w:t xml:space="preserve">плановый период 2015-2016 годы  в сравнении с 2013 годом представлена в </w:t>
      </w:r>
      <w:r w:rsidRPr="001372CC">
        <w:rPr>
          <w:sz w:val="28"/>
          <w:szCs w:val="28"/>
        </w:rPr>
        <w:t>Таблице № 2.</w:t>
      </w:r>
    </w:p>
    <w:p w:rsidR="0078586F" w:rsidRPr="001372CC" w:rsidRDefault="0078586F" w:rsidP="0078586F">
      <w:pPr>
        <w:spacing w:before="100" w:beforeAutospacing="1" w:after="100" w:afterAutospacing="1" w:line="312" w:lineRule="atLeast"/>
        <w:jc w:val="right"/>
        <w:rPr>
          <w:sz w:val="28"/>
          <w:szCs w:val="28"/>
        </w:rPr>
      </w:pPr>
      <w:r w:rsidRPr="001372CC">
        <w:rPr>
          <w:sz w:val="28"/>
          <w:szCs w:val="28"/>
        </w:rPr>
        <w:t>Таблица №2 (</w:t>
      </w:r>
      <w:r w:rsidRPr="001372CC">
        <w:rPr>
          <w:bCs/>
          <w:sz w:val="28"/>
          <w:szCs w:val="28"/>
        </w:rPr>
        <w:t>тыс. руб.)</w:t>
      </w:r>
    </w:p>
    <w:tbl>
      <w:tblPr>
        <w:tblpPr w:leftFromText="45" w:rightFromText="45" w:vertAnchor="text" w:tblpX="-132"/>
        <w:tblW w:w="968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8"/>
        <w:gridCol w:w="841"/>
        <w:gridCol w:w="498"/>
        <w:gridCol w:w="762"/>
        <w:gridCol w:w="539"/>
        <w:gridCol w:w="753"/>
        <w:gridCol w:w="529"/>
        <w:gridCol w:w="772"/>
        <w:gridCol w:w="516"/>
        <w:gridCol w:w="747"/>
        <w:gridCol w:w="552"/>
      </w:tblGrid>
      <w:tr w:rsidR="001372CC" w:rsidRPr="001372CC" w:rsidTr="00DE38C5">
        <w:trPr>
          <w:trHeight w:val="1074"/>
          <w:tblCellSpacing w:w="0" w:type="dxa"/>
        </w:trPr>
        <w:tc>
          <w:tcPr>
            <w:tcW w:w="3178" w:type="dxa"/>
            <w:vMerge w:val="restart"/>
            <w:hideMark/>
          </w:tcPr>
          <w:p w:rsidR="0078586F" w:rsidRPr="001372CC" w:rsidRDefault="0078586F" w:rsidP="00BA4792">
            <w:pPr>
              <w:spacing w:before="100" w:beforeAutospacing="1" w:after="100" w:afterAutospacing="1" w:line="312" w:lineRule="atLeast"/>
              <w:rPr>
                <w:sz w:val="22"/>
                <w:szCs w:val="22"/>
              </w:rPr>
            </w:pPr>
            <w:r w:rsidRPr="001372CC">
              <w:rPr>
                <w:sz w:val="22"/>
                <w:szCs w:val="22"/>
              </w:rPr>
              <w:t> </w:t>
            </w:r>
          </w:p>
          <w:p w:rsidR="0078586F" w:rsidRPr="001372CC" w:rsidRDefault="0078586F" w:rsidP="00BA4792">
            <w:pPr>
              <w:spacing w:before="100" w:beforeAutospacing="1" w:after="100" w:afterAutospacing="1" w:line="312" w:lineRule="atLeast"/>
              <w:rPr>
                <w:sz w:val="22"/>
                <w:szCs w:val="22"/>
              </w:rPr>
            </w:pPr>
            <w:r w:rsidRPr="001372CC">
              <w:rPr>
                <w:sz w:val="22"/>
                <w:szCs w:val="22"/>
              </w:rPr>
              <w:t>Группа доходов</w:t>
            </w:r>
          </w:p>
        </w:tc>
        <w:tc>
          <w:tcPr>
            <w:tcW w:w="1339" w:type="dxa"/>
            <w:gridSpan w:val="2"/>
            <w:hideMark/>
          </w:tcPr>
          <w:p w:rsidR="00BA4792" w:rsidRDefault="0078586F" w:rsidP="00BA4792">
            <w:pPr>
              <w:spacing w:before="100" w:beforeAutospacing="1" w:after="100" w:afterAutospacing="1" w:line="312" w:lineRule="atLeast"/>
              <w:jc w:val="center"/>
              <w:rPr>
                <w:sz w:val="20"/>
                <w:szCs w:val="20"/>
              </w:rPr>
            </w:pPr>
            <w:r w:rsidRPr="001372CC">
              <w:rPr>
                <w:sz w:val="20"/>
                <w:szCs w:val="20"/>
              </w:rPr>
              <w:t xml:space="preserve">2013 год </w:t>
            </w:r>
            <w:r w:rsidR="00BA4792">
              <w:rPr>
                <w:sz w:val="20"/>
                <w:szCs w:val="20"/>
              </w:rPr>
              <w:t>–</w:t>
            </w:r>
          </w:p>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план</w:t>
            </w:r>
          </w:p>
        </w:tc>
        <w:tc>
          <w:tcPr>
            <w:tcW w:w="1301" w:type="dxa"/>
            <w:gridSpan w:val="2"/>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2013 год - ожидаемое исполнение</w:t>
            </w:r>
          </w:p>
        </w:tc>
        <w:tc>
          <w:tcPr>
            <w:tcW w:w="1282" w:type="dxa"/>
            <w:gridSpan w:val="2"/>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2014 год - проект</w:t>
            </w:r>
          </w:p>
        </w:tc>
        <w:tc>
          <w:tcPr>
            <w:tcW w:w="1288" w:type="dxa"/>
            <w:gridSpan w:val="2"/>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2015 год - проект</w:t>
            </w:r>
          </w:p>
        </w:tc>
        <w:tc>
          <w:tcPr>
            <w:tcW w:w="1299" w:type="dxa"/>
            <w:gridSpan w:val="2"/>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2016 год - проект</w:t>
            </w:r>
          </w:p>
        </w:tc>
      </w:tr>
      <w:tr w:rsidR="001372CC" w:rsidRPr="001372CC" w:rsidTr="00DE38C5">
        <w:trPr>
          <w:trHeight w:val="525"/>
          <w:tblCellSpacing w:w="0" w:type="dxa"/>
        </w:trPr>
        <w:tc>
          <w:tcPr>
            <w:tcW w:w="3178" w:type="dxa"/>
            <w:vMerge/>
            <w:vAlign w:val="center"/>
            <w:hideMark/>
          </w:tcPr>
          <w:p w:rsidR="0078586F" w:rsidRPr="001372CC" w:rsidRDefault="0078586F" w:rsidP="00BA4792">
            <w:pPr>
              <w:rPr>
                <w:sz w:val="22"/>
                <w:szCs w:val="22"/>
              </w:rPr>
            </w:pPr>
          </w:p>
        </w:tc>
        <w:tc>
          <w:tcPr>
            <w:tcW w:w="841"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сумма</w:t>
            </w:r>
          </w:p>
        </w:tc>
        <w:tc>
          <w:tcPr>
            <w:tcW w:w="498"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w:t>
            </w:r>
          </w:p>
        </w:tc>
        <w:tc>
          <w:tcPr>
            <w:tcW w:w="762"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сумма</w:t>
            </w:r>
          </w:p>
        </w:tc>
        <w:tc>
          <w:tcPr>
            <w:tcW w:w="539"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w:t>
            </w:r>
          </w:p>
        </w:tc>
        <w:tc>
          <w:tcPr>
            <w:tcW w:w="753"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сумма</w:t>
            </w:r>
          </w:p>
        </w:tc>
        <w:tc>
          <w:tcPr>
            <w:tcW w:w="529"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w:t>
            </w:r>
          </w:p>
        </w:tc>
        <w:tc>
          <w:tcPr>
            <w:tcW w:w="772"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сумма</w:t>
            </w:r>
          </w:p>
        </w:tc>
        <w:tc>
          <w:tcPr>
            <w:tcW w:w="516"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w:t>
            </w:r>
          </w:p>
        </w:tc>
        <w:tc>
          <w:tcPr>
            <w:tcW w:w="747"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сумма</w:t>
            </w:r>
          </w:p>
        </w:tc>
        <w:tc>
          <w:tcPr>
            <w:tcW w:w="552" w:type="dxa"/>
            <w:hideMark/>
          </w:tcPr>
          <w:p w:rsidR="0078586F" w:rsidRPr="001372CC" w:rsidRDefault="0078586F" w:rsidP="00BA4792">
            <w:pPr>
              <w:spacing w:before="100" w:beforeAutospacing="1" w:after="100" w:afterAutospacing="1" w:line="312" w:lineRule="atLeast"/>
              <w:jc w:val="center"/>
              <w:rPr>
                <w:sz w:val="20"/>
                <w:szCs w:val="20"/>
              </w:rPr>
            </w:pPr>
            <w:r w:rsidRPr="001372CC">
              <w:rPr>
                <w:sz w:val="20"/>
                <w:szCs w:val="20"/>
              </w:rPr>
              <w:t>%</w:t>
            </w:r>
          </w:p>
        </w:tc>
      </w:tr>
      <w:tr w:rsidR="00626748" w:rsidRPr="00626748" w:rsidTr="00DE38C5">
        <w:trPr>
          <w:trHeight w:val="350"/>
          <w:tblCellSpacing w:w="0" w:type="dxa"/>
        </w:trPr>
        <w:tc>
          <w:tcPr>
            <w:tcW w:w="3178"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А</w:t>
            </w:r>
          </w:p>
        </w:tc>
        <w:tc>
          <w:tcPr>
            <w:tcW w:w="841"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1</w:t>
            </w:r>
          </w:p>
        </w:tc>
        <w:tc>
          <w:tcPr>
            <w:tcW w:w="498"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2</w:t>
            </w:r>
          </w:p>
        </w:tc>
        <w:tc>
          <w:tcPr>
            <w:tcW w:w="762"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3</w:t>
            </w:r>
          </w:p>
        </w:tc>
        <w:tc>
          <w:tcPr>
            <w:tcW w:w="539"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4</w:t>
            </w:r>
          </w:p>
        </w:tc>
        <w:tc>
          <w:tcPr>
            <w:tcW w:w="753"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5</w:t>
            </w:r>
          </w:p>
        </w:tc>
        <w:tc>
          <w:tcPr>
            <w:tcW w:w="529"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6</w:t>
            </w:r>
          </w:p>
        </w:tc>
        <w:tc>
          <w:tcPr>
            <w:tcW w:w="772"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7</w:t>
            </w:r>
          </w:p>
        </w:tc>
        <w:tc>
          <w:tcPr>
            <w:tcW w:w="516"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8</w:t>
            </w:r>
          </w:p>
        </w:tc>
        <w:tc>
          <w:tcPr>
            <w:tcW w:w="747"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9</w:t>
            </w:r>
          </w:p>
        </w:tc>
        <w:tc>
          <w:tcPr>
            <w:tcW w:w="552" w:type="dxa"/>
            <w:hideMark/>
          </w:tcPr>
          <w:p w:rsidR="0078586F" w:rsidRPr="00626748" w:rsidRDefault="0078586F" w:rsidP="00BA4792">
            <w:pPr>
              <w:spacing w:before="100" w:beforeAutospacing="1" w:after="100" w:afterAutospacing="1" w:line="312" w:lineRule="atLeast"/>
              <w:jc w:val="center"/>
              <w:rPr>
                <w:sz w:val="18"/>
                <w:szCs w:val="18"/>
              </w:rPr>
            </w:pPr>
            <w:r w:rsidRPr="00626748">
              <w:rPr>
                <w:bCs/>
                <w:sz w:val="18"/>
                <w:szCs w:val="18"/>
              </w:rPr>
              <w:t>10</w:t>
            </w:r>
          </w:p>
        </w:tc>
      </w:tr>
      <w:tr w:rsidR="00626748" w:rsidRPr="00626748" w:rsidTr="00DE38C5">
        <w:trPr>
          <w:trHeight w:val="374"/>
          <w:tblCellSpacing w:w="0" w:type="dxa"/>
        </w:trPr>
        <w:tc>
          <w:tcPr>
            <w:tcW w:w="3178" w:type="dxa"/>
            <w:hideMark/>
          </w:tcPr>
          <w:p w:rsidR="001C57E2" w:rsidRPr="00626748" w:rsidRDefault="001C57E2" w:rsidP="00BA4792">
            <w:pPr>
              <w:spacing w:before="100" w:beforeAutospacing="1" w:after="100" w:afterAutospacing="1" w:line="312" w:lineRule="atLeast"/>
            </w:pPr>
            <w:r w:rsidRPr="00626748">
              <w:t>Налоговые доходы                 </w:t>
            </w:r>
          </w:p>
        </w:tc>
        <w:tc>
          <w:tcPr>
            <w:tcW w:w="841" w:type="dxa"/>
            <w:vAlign w:val="center"/>
            <w:hideMark/>
          </w:tcPr>
          <w:p w:rsidR="001C57E2" w:rsidRPr="00626748" w:rsidRDefault="001C57E2">
            <w:pPr>
              <w:jc w:val="right"/>
              <w:rPr>
                <w:sz w:val="20"/>
                <w:szCs w:val="20"/>
              </w:rPr>
            </w:pPr>
            <w:r w:rsidRPr="00626748">
              <w:rPr>
                <w:sz w:val="20"/>
                <w:szCs w:val="20"/>
              </w:rPr>
              <w:t>283,0</w:t>
            </w:r>
          </w:p>
        </w:tc>
        <w:tc>
          <w:tcPr>
            <w:tcW w:w="498" w:type="dxa"/>
            <w:vAlign w:val="center"/>
            <w:hideMark/>
          </w:tcPr>
          <w:p w:rsidR="001C57E2" w:rsidRPr="00626748" w:rsidRDefault="001C57E2">
            <w:pPr>
              <w:jc w:val="right"/>
              <w:rPr>
                <w:sz w:val="20"/>
                <w:szCs w:val="20"/>
              </w:rPr>
            </w:pPr>
            <w:r w:rsidRPr="00626748">
              <w:rPr>
                <w:sz w:val="20"/>
                <w:szCs w:val="20"/>
              </w:rPr>
              <w:t>16,0</w:t>
            </w:r>
          </w:p>
        </w:tc>
        <w:tc>
          <w:tcPr>
            <w:tcW w:w="762" w:type="dxa"/>
            <w:vAlign w:val="center"/>
            <w:hideMark/>
          </w:tcPr>
          <w:p w:rsidR="001C57E2" w:rsidRPr="00626748" w:rsidRDefault="001C57E2">
            <w:pPr>
              <w:jc w:val="right"/>
              <w:rPr>
                <w:sz w:val="20"/>
                <w:szCs w:val="20"/>
              </w:rPr>
            </w:pPr>
            <w:r w:rsidRPr="00626748">
              <w:rPr>
                <w:sz w:val="20"/>
                <w:szCs w:val="20"/>
              </w:rPr>
              <w:t>298,0</w:t>
            </w:r>
          </w:p>
        </w:tc>
        <w:tc>
          <w:tcPr>
            <w:tcW w:w="539" w:type="dxa"/>
            <w:vAlign w:val="center"/>
            <w:hideMark/>
          </w:tcPr>
          <w:p w:rsidR="001C57E2" w:rsidRPr="00626748" w:rsidRDefault="001C57E2">
            <w:pPr>
              <w:jc w:val="right"/>
              <w:rPr>
                <w:sz w:val="20"/>
                <w:szCs w:val="20"/>
              </w:rPr>
            </w:pPr>
            <w:r w:rsidRPr="00626748">
              <w:rPr>
                <w:sz w:val="20"/>
                <w:szCs w:val="20"/>
              </w:rPr>
              <w:t>13,9</w:t>
            </w:r>
          </w:p>
        </w:tc>
        <w:tc>
          <w:tcPr>
            <w:tcW w:w="753" w:type="dxa"/>
            <w:vAlign w:val="center"/>
            <w:hideMark/>
          </w:tcPr>
          <w:p w:rsidR="001C57E2" w:rsidRPr="00626748" w:rsidRDefault="001C57E2">
            <w:pPr>
              <w:jc w:val="right"/>
              <w:rPr>
                <w:sz w:val="20"/>
                <w:szCs w:val="20"/>
              </w:rPr>
            </w:pPr>
            <w:r w:rsidRPr="00626748">
              <w:rPr>
                <w:sz w:val="20"/>
                <w:szCs w:val="20"/>
              </w:rPr>
              <w:t>407,0</w:t>
            </w:r>
          </w:p>
        </w:tc>
        <w:tc>
          <w:tcPr>
            <w:tcW w:w="529" w:type="dxa"/>
            <w:vAlign w:val="center"/>
            <w:hideMark/>
          </w:tcPr>
          <w:p w:rsidR="001C57E2" w:rsidRPr="00626748" w:rsidRDefault="001C57E2">
            <w:pPr>
              <w:jc w:val="right"/>
              <w:rPr>
                <w:sz w:val="20"/>
                <w:szCs w:val="20"/>
              </w:rPr>
            </w:pPr>
            <w:r w:rsidRPr="00626748">
              <w:rPr>
                <w:sz w:val="20"/>
                <w:szCs w:val="20"/>
              </w:rPr>
              <w:t>19,7</w:t>
            </w:r>
          </w:p>
        </w:tc>
        <w:tc>
          <w:tcPr>
            <w:tcW w:w="772" w:type="dxa"/>
            <w:vAlign w:val="center"/>
            <w:hideMark/>
          </w:tcPr>
          <w:p w:rsidR="001C57E2" w:rsidRPr="00626748" w:rsidRDefault="001C57E2">
            <w:pPr>
              <w:jc w:val="right"/>
              <w:rPr>
                <w:sz w:val="20"/>
                <w:szCs w:val="20"/>
              </w:rPr>
            </w:pPr>
            <w:r w:rsidRPr="00626748">
              <w:rPr>
                <w:sz w:val="20"/>
                <w:szCs w:val="20"/>
              </w:rPr>
              <w:t>416,0</w:t>
            </w:r>
          </w:p>
        </w:tc>
        <w:tc>
          <w:tcPr>
            <w:tcW w:w="516" w:type="dxa"/>
            <w:vAlign w:val="center"/>
            <w:hideMark/>
          </w:tcPr>
          <w:p w:rsidR="001C57E2" w:rsidRPr="00626748" w:rsidRDefault="001C57E2">
            <w:pPr>
              <w:jc w:val="right"/>
              <w:rPr>
                <w:sz w:val="20"/>
                <w:szCs w:val="20"/>
              </w:rPr>
            </w:pPr>
            <w:r w:rsidRPr="00626748">
              <w:rPr>
                <w:sz w:val="20"/>
                <w:szCs w:val="20"/>
              </w:rPr>
              <w:t>20,7</w:t>
            </w:r>
          </w:p>
        </w:tc>
        <w:tc>
          <w:tcPr>
            <w:tcW w:w="747" w:type="dxa"/>
            <w:vAlign w:val="center"/>
            <w:hideMark/>
          </w:tcPr>
          <w:p w:rsidR="001C57E2" w:rsidRPr="00626748" w:rsidRDefault="001C57E2">
            <w:pPr>
              <w:jc w:val="right"/>
              <w:rPr>
                <w:sz w:val="20"/>
                <w:szCs w:val="20"/>
              </w:rPr>
            </w:pPr>
            <w:r w:rsidRPr="00626748">
              <w:rPr>
                <w:sz w:val="20"/>
                <w:szCs w:val="20"/>
              </w:rPr>
              <w:t>426,0</w:t>
            </w:r>
          </w:p>
        </w:tc>
        <w:tc>
          <w:tcPr>
            <w:tcW w:w="552" w:type="dxa"/>
            <w:vAlign w:val="center"/>
            <w:hideMark/>
          </w:tcPr>
          <w:p w:rsidR="001C57E2" w:rsidRPr="00626748" w:rsidRDefault="001C57E2">
            <w:pPr>
              <w:jc w:val="right"/>
              <w:rPr>
                <w:sz w:val="20"/>
                <w:szCs w:val="20"/>
              </w:rPr>
            </w:pPr>
            <w:r w:rsidRPr="00626748">
              <w:rPr>
                <w:sz w:val="20"/>
                <w:szCs w:val="20"/>
              </w:rPr>
              <w:t>20,7</w:t>
            </w:r>
          </w:p>
        </w:tc>
      </w:tr>
      <w:tr w:rsidR="00626748" w:rsidRPr="00626748" w:rsidTr="00DE38C5">
        <w:trPr>
          <w:trHeight w:val="374"/>
          <w:tblCellSpacing w:w="0" w:type="dxa"/>
        </w:trPr>
        <w:tc>
          <w:tcPr>
            <w:tcW w:w="3178" w:type="dxa"/>
            <w:hideMark/>
          </w:tcPr>
          <w:p w:rsidR="001C57E2" w:rsidRPr="00626748" w:rsidRDefault="001C57E2" w:rsidP="00BA4792">
            <w:pPr>
              <w:spacing w:before="100" w:beforeAutospacing="1" w:after="100" w:afterAutospacing="1" w:line="312" w:lineRule="atLeast"/>
            </w:pPr>
            <w:r w:rsidRPr="00626748">
              <w:t>Неналоговые доходы</w:t>
            </w:r>
          </w:p>
        </w:tc>
        <w:tc>
          <w:tcPr>
            <w:tcW w:w="841" w:type="dxa"/>
            <w:vAlign w:val="center"/>
            <w:hideMark/>
          </w:tcPr>
          <w:p w:rsidR="001C57E2" w:rsidRPr="00626748" w:rsidRDefault="001C57E2">
            <w:pPr>
              <w:jc w:val="right"/>
              <w:rPr>
                <w:sz w:val="20"/>
                <w:szCs w:val="20"/>
              </w:rPr>
            </w:pPr>
            <w:r w:rsidRPr="00626748">
              <w:rPr>
                <w:sz w:val="20"/>
                <w:szCs w:val="20"/>
              </w:rPr>
              <w:t>14,0</w:t>
            </w:r>
          </w:p>
        </w:tc>
        <w:tc>
          <w:tcPr>
            <w:tcW w:w="498" w:type="dxa"/>
            <w:vAlign w:val="center"/>
            <w:hideMark/>
          </w:tcPr>
          <w:p w:rsidR="001C57E2" w:rsidRPr="00626748" w:rsidRDefault="001C57E2">
            <w:pPr>
              <w:jc w:val="right"/>
              <w:rPr>
                <w:sz w:val="20"/>
                <w:szCs w:val="20"/>
              </w:rPr>
            </w:pPr>
            <w:r w:rsidRPr="00626748">
              <w:rPr>
                <w:sz w:val="20"/>
                <w:szCs w:val="20"/>
              </w:rPr>
              <w:t>0,8</w:t>
            </w:r>
          </w:p>
        </w:tc>
        <w:tc>
          <w:tcPr>
            <w:tcW w:w="762" w:type="dxa"/>
            <w:vAlign w:val="center"/>
            <w:hideMark/>
          </w:tcPr>
          <w:p w:rsidR="001C57E2" w:rsidRPr="00626748" w:rsidRDefault="001C57E2">
            <w:pPr>
              <w:jc w:val="right"/>
              <w:rPr>
                <w:sz w:val="20"/>
                <w:szCs w:val="20"/>
              </w:rPr>
            </w:pPr>
            <w:r w:rsidRPr="00626748">
              <w:rPr>
                <w:sz w:val="20"/>
                <w:szCs w:val="20"/>
              </w:rPr>
              <w:t>110,0</w:t>
            </w:r>
          </w:p>
        </w:tc>
        <w:tc>
          <w:tcPr>
            <w:tcW w:w="539" w:type="dxa"/>
            <w:vAlign w:val="center"/>
            <w:hideMark/>
          </w:tcPr>
          <w:p w:rsidR="001C57E2" w:rsidRPr="00626748" w:rsidRDefault="001C57E2">
            <w:pPr>
              <w:jc w:val="right"/>
              <w:rPr>
                <w:sz w:val="20"/>
                <w:szCs w:val="20"/>
              </w:rPr>
            </w:pPr>
            <w:r w:rsidRPr="00626748">
              <w:rPr>
                <w:sz w:val="20"/>
                <w:szCs w:val="20"/>
              </w:rPr>
              <w:t>5,1</w:t>
            </w:r>
          </w:p>
        </w:tc>
        <w:tc>
          <w:tcPr>
            <w:tcW w:w="753" w:type="dxa"/>
            <w:vAlign w:val="center"/>
            <w:hideMark/>
          </w:tcPr>
          <w:p w:rsidR="001C57E2" w:rsidRPr="00626748" w:rsidRDefault="001C57E2">
            <w:pPr>
              <w:jc w:val="right"/>
              <w:rPr>
                <w:sz w:val="20"/>
                <w:szCs w:val="20"/>
              </w:rPr>
            </w:pPr>
            <w:r w:rsidRPr="00626748">
              <w:rPr>
                <w:sz w:val="20"/>
                <w:szCs w:val="20"/>
              </w:rPr>
              <w:t>88,0</w:t>
            </w:r>
          </w:p>
        </w:tc>
        <w:tc>
          <w:tcPr>
            <w:tcW w:w="529" w:type="dxa"/>
            <w:vAlign w:val="center"/>
            <w:hideMark/>
          </w:tcPr>
          <w:p w:rsidR="001C57E2" w:rsidRPr="00626748" w:rsidRDefault="001C57E2">
            <w:pPr>
              <w:jc w:val="right"/>
              <w:rPr>
                <w:sz w:val="20"/>
                <w:szCs w:val="20"/>
              </w:rPr>
            </w:pPr>
            <w:r w:rsidRPr="00626748">
              <w:rPr>
                <w:sz w:val="20"/>
                <w:szCs w:val="20"/>
              </w:rPr>
              <w:t>4,3</w:t>
            </w:r>
          </w:p>
        </w:tc>
        <w:tc>
          <w:tcPr>
            <w:tcW w:w="772" w:type="dxa"/>
            <w:vAlign w:val="center"/>
            <w:hideMark/>
          </w:tcPr>
          <w:p w:rsidR="001C57E2" w:rsidRPr="00626748" w:rsidRDefault="001C57E2">
            <w:pPr>
              <w:jc w:val="right"/>
              <w:rPr>
                <w:sz w:val="20"/>
                <w:szCs w:val="20"/>
              </w:rPr>
            </w:pPr>
            <w:r w:rsidRPr="00626748">
              <w:rPr>
                <w:sz w:val="20"/>
                <w:szCs w:val="20"/>
              </w:rPr>
              <w:t>91,0</w:t>
            </w:r>
          </w:p>
        </w:tc>
        <w:tc>
          <w:tcPr>
            <w:tcW w:w="516" w:type="dxa"/>
            <w:vAlign w:val="center"/>
            <w:hideMark/>
          </w:tcPr>
          <w:p w:rsidR="001C57E2" w:rsidRPr="00626748" w:rsidRDefault="001C57E2">
            <w:pPr>
              <w:jc w:val="right"/>
              <w:rPr>
                <w:sz w:val="20"/>
                <w:szCs w:val="20"/>
              </w:rPr>
            </w:pPr>
            <w:r w:rsidRPr="00626748">
              <w:rPr>
                <w:sz w:val="20"/>
                <w:szCs w:val="20"/>
              </w:rPr>
              <w:t>4,5</w:t>
            </w:r>
          </w:p>
        </w:tc>
        <w:tc>
          <w:tcPr>
            <w:tcW w:w="747" w:type="dxa"/>
            <w:vAlign w:val="center"/>
            <w:hideMark/>
          </w:tcPr>
          <w:p w:rsidR="001C57E2" w:rsidRPr="00626748" w:rsidRDefault="001C57E2">
            <w:pPr>
              <w:jc w:val="right"/>
              <w:rPr>
                <w:sz w:val="20"/>
                <w:szCs w:val="20"/>
              </w:rPr>
            </w:pPr>
            <w:r w:rsidRPr="00626748">
              <w:rPr>
                <w:sz w:val="20"/>
                <w:szCs w:val="20"/>
              </w:rPr>
              <w:t>93,0</w:t>
            </w:r>
          </w:p>
        </w:tc>
        <w:tc>
          <w:tcPr>
            <w:tcW w:w="552" w:type="dxa"/>
            <w:vAlign w:val="center"/>
            <w:hideMark/>
          </w:tcPr>
          <w:p w:rsidR="001C57E2" w:rsidRPr="00626748" w:rsidRDefault="001C57E2">
            <w:pPr>
              <w:jc w:val="right"/>
              <w:rPr>
                <w:sz w:val="20"/>
                <w:szCs w:val="20"/>
              </w:rPr>
            </w:pPr>
            <w:r w:rsidRPr="00626748">
              <w:rPr>
                <w:sz w:val="20"/>
                <w:szCs w:val="20"/>
              </w:rPr>
              <w:t>4,5</w:t>
            </w:r>
          </w:p>
        </w:tc>
      </w:tr>
      <w:tr w:rsidR="00626748" w:rsidRPr="00626748" w:rsidTr="00DE38C5">
        <w:trPr>
          <w:trHeight w:val="350"/>
          <w:tblCellSpacing w:w="0" w:type="dxa"/>
        </w:trPr>
        <w:tc>
          <w:tcPr>
            <w:tcW w:w="3178" w:type="dxa"/>
            <w:hideMark/>
          </w:tcPr>
          <w:p w:rsidR="001C57E2" w:rsidRPr="00626748" w:rsidRDefault="001C57E2" w:rsidP="00BA4792">
            <w:pPr>
              <w:spacing w:before="100" w:beforeAutospacing="1" w:after="100" w:afterAutospacing="1" w:line="312" w:lineRule="atLeast"/>
            </w:pPr>
            <w:r w:rsidRPr="00626748">
              <w:t>Безвозмездные поступления</w:t>
            </w:r>
          </w:p>
        </w:tc>
        <w:tc>
          <w:tcPr>
            <w:tcW w:w="841" w:type="dxa"/>
            <w:vAlign w:val="center"/>
            <w:hideMark/>
          </w:tcPr>
          <w:p w:rsidR="001C57E2" w:rsidRPr="00626748" w:rsidRDefault="001C57E2">
            <w:pPr>
              <w:jc w:val="right"/>
              <w:rPr>
                <w:sz w:val="20"/>
                <w:szCs w:val="20"/>
              </w:rPr>
            </w:pPr>
            <w:r w:rsidRPr="00626748">
              <w:rPr>
                <w:sz w:val="20"/>
                <w:szCs w:val="20"/>
              </w:rPr>
              <w:t>1476,0</w:t>
            </w:r>
          </w:p>
        </w:tc>
        <w:tc>
          <w:tcPr>
            <w:tcW w:w="498" w:type="dxa"/>
            <w:vAlign w:val="center"/>
            <w:hideMark/>
          </w:tcPr>
          <w:p w:rsidR="001C57E2" w:rsidRPr="00626748" w:rsidRDefault="001C57E2">
            <w:pPr>
              <w:jc w:val="right"/>
              <w:rPr>
                <w:sz w:val="20"/>
                <w:szCs w:val="20"/>
              </w:rPr>
            </w:pPr>
            <w:r w:rsidRPr="00626748">
              <w:rPr>
                <w:sz w:val="20"/>
                <w:szCs w:val="20"/>
              </w:rPr>
              <w:t>83,2</w:t>
            </w:r>
          </w:p>
        </w:tc>
        <w:tc>
          <w:tcPr>
            <w:tcW w:w="762" w:type="dxa"/>
            <w:vAlign w:val="center"/>
            <w:hideMark/>
          </w:tcPr>
          <w:p w:rsidR="001C57E2" w:rsidRPr="00626748" w:rsidRDefault="001C57E2">
            <w:pPr>
              <w:jc w:val="right"/>
              <w:rPr>
                <w:sz w:val="20"/>
                <w:szCs w:val="20"/>
              </w:rPr>
            </w:pPr>
            <w:r w:rsidRPr="00626748">
              <w:rPr>
                <w:sz w:val="20"/>
                <w:szCs w:val="20"/>
              </w:rPr>
              <w:t>1742,2</w:t>
            </w:r>
          </w:p>
        </w:tc>
        <w:tc>
          <w:tcPr>
            <w:tcW w:w="539" w:type="dxa"/>
            <w:vAlign w:val="center"/>
            <w:hideMark/>
          </w:tcPr>
          <w:p w:rsidR="001C57E2" w:rsidRPr="00626748" w:rsidRDefault="001C57E2">
            <w:pPr>
              <w:jc w:val="right"/>
              <w:rPr>
                <w:sz w:val="20"/>
                <w:szCs w:val="20"/>
              </w:rPr>
            </w:pPr>
            <w:r w:rsidRPr="00626748">
              <w:rPr>
                <w:sz w:val="20"/>
                <w:szCs w:val="20"/>
              </w:rPr>
              <w:t>81,0</w:t>
            </w:r>
          </w:p>
        </w:tc>
        <w:tc>
          <w:tcPr>
            <w:tcW w:w="753" w:type="dxa"/>
            <w:vAlign w:val="center"/>
            <w:hideMark/>
          </w:tcPr>
          <w:p w:rsidR="001C57E2" w:rsidRPr="00626748" w:rsidRDefault="001C57E2">
            <w:pPr>
              <w:jc w:val="right"/>
              <w:rPr>
                <w:sz w:val="20"/>
                <w:szCs w:val="20"/>
              </w:rPr>
            </w:pPr>
            <w:r w:rsidRPr="00626748">
              <w:rPr>
                <w:sz w:val="20"/>
                <w:szCs w:val="20"/>
              </w:rPr>
              <w:t>1573,4</w:t>
            </w:r>
          </w:p>
        </w:tc>
        <w:tc>
          <w:tcPr>
            <w:tcW w:w="529" w:type="dxa"/>
            <w:vAlign w:val="center"/>
            <w:hideMark/>
          </w:tcPr>
          <w:p w:rsidR="001C57E2" w:rsidRPr="00626748" w:rsidRDefault="001C57E2">
            <w:pPr>
              <w:jc w:val="right"/>
              <w:rPr>
                <w:sz w:val="20"/>
                <w:szCs w:val="20"/>
              </w:rPr>
            </w:pPr>
            <w:r w:rsidRPr="00626748">
              <w:rPr>
                <w:sz w:val="20"/>
                <w:szCs w:val="20"/>
              </w:rPr>
              <w:t>76,1</w:t>
            </w:r>
          </w:p>
        </w:tc>
        <w:tc>
          <w:tcPr>
            <w:tcW w:w="772" w:type="dxa"/>
            <w:vAlign w:val="center"/>
            <w:hideMark/>
          </w:tcPr>
          <w:p w:rsidR="001C57E2" w:rsidRPr="00626748" w:rsidRDefault="001C57E2">
            <w:pPr>
              <w:jc w:val="right"/>
              <w:rPr>
                <w:sz w:val="20"/>
                <w:szCs w:val="20"/>
              </w:rPr>
            </w:pPr>
            <w:r w:rsidRPr="00626748">
              <w:rPr>
                <w:sz w:val="20"/>
                <w:szCs w:val="20"/>
              </w:rPr>
              <w:t>1503,5</w:t>
            </w:r>
          </w:p>
        </w:tc>
        <w:tc>
          <w:tcPr>
            <w:tcW w:w="516" w:type="dxa"/>
            <w:vAlign w:val="center"/>
            <w:hideMark/>
          </w:tcPr>
          <w:p w:rsidR="001C57E2" w:rsidRPr="00626748" w:rsidRDefault="001C57E2">
            <w:pPr>
              <w:jc w:val="right"/>
              <w:rPr>
                <w:sz w:val="20"/>
                <w:szCs w:val="20"/>
              </w:rPr>
            </w:pPr>
            <w:r w:rsidRPr="00626748">
              <w:rPr>
                <w:sz w:val="20"/>
                <w:szCs w:val="20"/>
              </w:rPr>
              <w:t>74,8</w:t>
            </w:r>
          </w:p>
        </w:tc>
        <w:tc>
          <w:tcPr>
            <w:tcW w:w="747" w:type="dxa"/>
            <w:vAlign w:val="center"/>
            <w:hideMark/>
          </w:tcPr>
          <w:p w:rsidR="001C57E2" w:rsidRPr="00626748" w:rsidRDefault="001C57E2">
            <w:pPr>
              <w:jc w:val="right"/>
              <w:rPr>
                <w:sz w:val="20"/>
                <w:szCs w:val="20"/>
              </w:rPr>
            </w:pPr>
            <w:r w:rsidRPr="00626748">
              <w:rPr>
                <w:sz w:val="20"/>
                <w:szCs w:val="20"/>
              </w:rPr>
              <w:t>1537,2</w:t>
            </w:r>
          </w:p>
        </w:tc>
        <w:tc>
          <w:tcPr>
            <w:tcW w:w="552" w:type="dxa"/>
            <w:vAlign w:val="center"/>
            <w:hideMark/>
          </w:tcPr>
          <w:p w:rsidR="001C57E2" w:rsidRPr="00626748" w:rsidRDefault="001C57E2">
            <w:pPr>
              <w:jc w:val="right"/>
              <w:rPr>
                <w:sz w:val="20"/>
                <w:szCs w:val="20"/>
              </w:rPr>
            </w:pPr>
            <w:r w:rsidRPr="00626748">
              <w:rPr>
                <w:sz w:val="20"/>
                <w:szCs w:val="20"/>
              </w:rPr>
              <w:t>74,8</w:t>
            </w:r>
          </w:p>
        </w:tc>
      </w:tr>
      <w:tr w:rsidR="00626748" w:rsidRPr="00626748" w:rsidTr="00DE38C5">
        <w:trPr>
          <w:trHeight w:val="350"/>
          <w:tblCellSpacing w:w="0" w:type="dxa"/>
        </w:trPr>
        <w:tc>
          <w:tcPr>
            <w:tcW w:w="3178" w:type="dxa"/>
            <w:hideMark/>
          </w:tcPr>
          <w:p w:rsidR="001C57E2" w:rsidRPr="00626748" w:rsidRDefault="001C57E2" w:rsidP="00BA4792">
            <w:pPr>
              <w:spacing w:before="100" w:beforeAutospacing="1" w:after="100" w:afterAutospacing="1" w:line="312" w:lineRule="atLeast"/>
            </w:pPr>
            <w:r w:rsidRPr="00626748">
              <w:t>ВСЕГО ДОХОДОВ</w:t>
            </w:r>
          </w:p>
        </w:tc>
        <w:tc>
          <w:tcPr>
            <w:tcW w:w="841" w:type="dxa"/>
            <w:vAlign w:val="center"/>
            <w:hideMark/>
          </w:tcPr>
          <w:p w:rsidR="001C57E2" w:rsidRPr="00626748" w:rsidRDefault="001C57E2">
            <w:pPr>
              <w:jc w:val="right"/>
              <w:rPr>
                <w:sz w:val="20"/>
                <w:szCs w:val="20"/>
              </w:rPr>
            </w:pPr>
            <w:r w:rsidRPr="00626748">
              <w:rPr>
                <w:sz w:val="20"/>
                <w:szCs w:val="20"/>
              </w:rPr>
              <w:t>1773,0</w:t>
            </w:r>
          </w:p>
        </w:tc>
        <w:tc>
          <w:tcPr>
            <w:tcW w:w="498" w:type="dxa"/>
            <w:vAlign w:val="center"/>
            <w:hideMark/>
          </w:tcPr>
          <w:p w:rsidR="001C57E2" w:rsidRPr="00626748" w:rsidRDefault="001C57E2">
            <w:pPr>
              <w:jc w:val="right"/>
              <w:rPr>
                <w:sz w:val="20"/>
                <w:szCs w:val="20"/>
              </w:rPr>
            </w:pPr>
            <w:r w:rsidRPr="00626748">
              <w:rPr>
                <w:sz w:val="20"/>
                <w:szCs w:val="20"/>
              </w:rPr>
              <w:t>100,0</w:t>
            </w:r>
          </w:p>
        </w:tc>
        <w:tc>
          <w:tcPr>
            <w:tcW w:w="762" w:type="dxa"/>
            <w:vAlign w:val="center"/>
            <w:hideMark/>
          </w:tcPr>
          <w:p w:rsidR="001C57E2" w:rsidRPr="00626748" w:rsidRDefault="001C57E2">
            <w:pPr>
              <w:jc w:val="right"/>
              <w:rPr>
                <w:sz w:val="20"/>
                <w:szCs w:val="20"/>
              </w:rPr>
            </w:pPr>
            <w:r w:rsidRPr="00626748">
              <w:rPr>
                <w:sz w:val="20"/>
                <w:szCs w:val="20"/>
              </w:rPr>
              <w:t>2150,2</w:t>
            </w:r>
          </w:p>
        </w:tc>
        <w:tc>
          <w:tcPr>
            <w:tcW w:w="539" w:type="dxa"/>
            <w:vAlign w:val="center"/>
            <w:hideMark/>
          </w:tcPr>
          <w:p w:rsidR="001C57E2" w:rsidRPr="00626748" w:rsidRDefault="001C57E2">
            <w:pPr>
              <w:jc w:val="right"/>
              <w:rPr>
                <w:sz w:val="20"/>
                <w:szCs w:val="20"/>
              </w:rPr>
            </w:pPr>
            <w:r w:rsidRPr="00626748">
              <w:rPr>
                <w:sz w:val="20"/>
                <w:szCs w:val="20"/>
              </w:rPr>
              <w:t>100,0</w:t>
            </w:r>
          </w:p>
        </w:tc>
        <w:tc>
          <w:tcPr>
            <w:tcW w:w="753" w:type="dxa"/>
            <w:vAlign w:val="center"/>
            <w:hideMark/>
          </w:tcPr>
          <w:p w:rsidR="001C57E2" w:rsidRPr="00626748" w:rsidRDefault="001C57E2">
            <w:pPr>
              <w:jc w:val="right"/>
              <w:rPr>
                <w:sz w:val="20"/>
                <w:szCs w:val="20"/>
              </w:rPr>
            </w:pPr>
            <w:r w:rsidRPr="00626748">
              <w:rPr>
                <w:sz w:val="20"/>
                <w:szCs w:val="20"/>
              </w:rPr>
              <w:t>2068,4</w:t>
            </w:r>
          </w:p>
        </w:tc>
        <w:tc>
          <w:tcPr>
            <w:tcW w:w="529" w:type="dxa"/>
            <w:vAlign w:val="center"/>
            <w:hideMark/>
          </w:tcPr>
          <w:p w:rsidR="001C57E2" w:rsidRPr="00626748" w:rsidRDefault="001C57E2">
            <w:pPr>
              <w:jc w:val="right"/>
              <w:rPr>
                <w:sz w:val="20"/>
                <w:szCs w:val="20"/>
              </w:rPr>
            </w:pPr>
            <w:r w:rsidRPr="00626748">
              <w:rPr>
                <w:sz w:val="20"/>
                <w:szCs w:val="20"/>
              </w:rPr>
              <w:t>100,0</w:t>
            </w:r>
          </w:p>
        </w:tc>
        <w:tc>
          <w:tcPr>
            <w:tcW w:w="772" w:type="dxa"/>
            <w:vAlign w:val="center"/>
            <w:hideMark/>
          </w:tcPr>
          <w:p w:rsidR="001C57E2" w:rsidRPr="00626748" w:rsidRDefault="001C57E2">
            <w:pPr>
              <w:jc w:val="right"/>
              <w:rPr>
                <w:sz w:val="20"/>
                <w:szCs w:val="20"/>
              </w:rPr>
            </w:pPr>
            <w:r w:rsidRPr="00626748">
              <w:rPr>
                <w:sz w:val="20"/>
                <w:szCs w:val="20"/>
              </w:rPr>
              <w:t>2010,5</w:t>
            </w:r>
          </w:p>
        </w:tc>
        <w:tc>
          <w:tcPr>
            <w:tcW w:w="516" w:type="dxa"/>
            <w:vAlign w:val="center"/>
            <w:hideMark/>
          </w:tcPr>
          <w:p w:rsidR="001C57E2" w:rsidRPr="00626748" w:rsidRDefault="001C57E2">
            <w:pPr>
              <w:jc w:val="right"/>
              <w:rPr>
                <w:sz w:val="20"/>
                <w:szCs w:val="20"/>
              </w:rPr>
            </w:pPr>
            <w:r w:rsidRPr="00626748">
              <w:rPr>
                <w:sz w:val="20"/>
                <w:szCs w:val="20"/>
              </w:rPr>
              <w:t>100,0</w:t>
            </w:r>
          </w:p>
        </w:tc>
        <w:tc>
          <w:tcPr>
            <w:tcW w:w="747" w:type="dxa"/>
            <w:vAlign w:val="center"/>
            <w:hideMark/>
          </w:tcPr>
          <w:p w:rsidR="001C57E2" w:rsidRPr="00626748" w:rsidRDefault="001C57E2">
            <w:pPr>
              <w:jc w:val="right"/>
              <w:rPr>
                <w:sz w:val="20"/>
                <w:szCs w:val="20"/>
              </w:rPr>
            </w:pPr>
            <w:r w:rsidRPr="00626748">
              <w:rPr>
                <w:sz w:val="20"/>
                <w:szCs w:val="20"/>
              </w:rPr>
              <w:t>2056,2</w:t>
            </w:r>
          </w:p>
        </w:tc>
        <w:tc>
          <w:tcPr>
            <w:tcW w:w="552" w:type="dxa"/>
            <w:vAlign w:val="center"/>
            <w:hideMark/>
          </w:tcPr>
          <w:p w:rsidR="001C57E2" w:rsidRPr="00626748" w:rsidRDefault="001C57E2">
            <w:pPr>
              <w:jc w:val="right"/>
              <w:rPr>
                <w:sz w:val="20"/>
                <w:szCs w:val="20"/>
              </w:rPr>
            </w:pPr>
            <w:r w:rsidRPr="00626748">
              <w:rPr>
                <w:sz w:val="20"/>
                <w:szCs w:val="20"/>
              </w:rPr>
              <w:t>100,0</w:t>
            </w:r>
          </w:p>
        </w:tc>
      </w:tr>
    </w:tbl>
    <w:p w:rsidR="002201E2" w:rsidRPr="00626748" w:rsidRDefault="002201E2" w:rsidP="005425E8">
      <w:pPr>
        <w:spacing w:line="276" w:lineRule="auto"/>
        <w:ind w:left="-180" w:firstLine="540"/>
        <w:jc w:val="both"/>
        <w:rPr>
          <w:sz w:val="28"/>
          <w:szCs w:val="28"/>
        </w:rPr>
      </w:pPr>
    </w:p>
    <w:p w:rsidR="005425E8" w:rsidRDefault="005425E8" w:rsidP="005425E8">
      <w:pPr>
        <w:spacing w:line="276" w:lineRule="auto"/>
        <w:ind w:left="-180" w:firstLine="540"/>
        <w:jc w:val="both"/>
        <w:rPr>
          <w:sz w:val="28"/>
          <w:szCs w:val="28"/>
        </w:rPr>
      </w:pPr>
      <w:r w:rsidRPr="0078586F">
        <w:rPr>
          <w:sz w:val="28"/>
          <w:szCs w:val="28"/>
        </w:rPr>
        <w:t xml:space="preserve">Динамика доходов бюджета </w:t>
      </w:r>
      <w:r w:rsidR="0078586F" w:rsidRPr="0078586F">
        <w:rPr>
          <w:sz w:val="28"/>
          <w:szCs w:val="28"/>
        </w:rPr>
        <w:t xml:space="preserve">сельского поселения </w:t>
      </w:r>
      <w:r w:rsidRPr="0078586F">
        <w:rPr>
          <w:sz w:val="28"/>
          <w:szCs w:val="28"/>
        </w:rPr>
        <w:t>на 2012 - 2013 годы и</w:t>
      </w:r>
      <w:r w:rsidRPr="00C83AE7">
        <w:rPr>
          <w:sz w:val="28"/>
          <w:szCs w:val="28"/>
        </w:rPr>
        <w:t xml:space="preserve"> плановый 2014 год  представлена в </w:t>
      </w:r>
      <w:r w:rsidRPr="00EF7D06">
        <w:rPr>
          <w:sz w:val="28"/>
          <w:szCs w:val="28"/>
        </w:rPr>
        <w:t xml:space="preserve">таблице </w:t>
      </w:r>
      <w:r>
        <w:rPr>
          <w:sz w:val="28"/>
          <w:szCs w:val="28"/>
        </w:rPr>
        <w:t>3</w:t>
      </w:r>
      <w:r w:rsidRPr="00EF7D06">
        <w:rPr>
          <w:sz w:val="28"/>
          <w:szCs w:val="28"/>
        </w:rPr>
        <w:t>.</w:t>
      </w:r>
    </w:p>
    <w:p w:rsidR="00BA4792" w:rsidRPr="00EF7D06" w:rsidRDefault="00BA4792" w:rsidP="005425E8">
      <w:pPr>
        <w:spacing w:line="276" w:lineRule="auto"/>
        <w:ind w:left="-180" w:firstLine="540"/>
        <w:jc w:val="both"/>
        <w:rPr>
          <w:sz w:val="28"/>
          <w:szCs w:val="28"/>
        </w:rPr>
      </w:pPr>
    </w:p>
    <w:p w:rsidR="005425E8" w:rsidRPr="00EF7D06" w:rsidRDefault="005425E8" w:rsidP="005425E8">
      <w:pPr>
        <w:ind w:firstLine="540"/>
        <w:jc w:val="right"/>
        <w:rPr>
          <w:sz w:val="28"/>
          <w:szCs w:val="28"/>
        </w:rPr>
      </w:pPr>
      <w:r w:rsidRPr="00EF7D06">
        <w:rPr>
          <w:sz w:val="28"/>
          <w:szCs w:val="28"/>
        </w:rPr>
        <w:lastRenderedPageBreak/>
        <w:t xml:space="preserve">Таблица </w:t>
      </w:r>
      <w:r>
        <w:rPr>
          <w:sz w:val="28"/>
          <w:szCs w:val="28"/>
        </w:rPr>
        <w:t>3</w:t>
      </w:r>
      <w:r w:rsidRPr="00EF7D06">
        <w:rPr>
          <w:sz w:val="28"/>
          <w:szCs w:val="28"/>
        </w:rPr>
        <w:t xml:space="preserve">  (тыс. руб.)</w:t>
      </w:r>
    </w:p>
    <w:tbl>
      <w:tblPr>
        <w:tblW w:w="9995" w:type="dxa"/>
        <w:tblInd w:w="-106" w:type="dxa"/>
        <w:tblLayout w:type="fixed"/>
        <w:tblLook w:val="0000" w:firstRow="0" w:lastRow="0" w:firstColumn="0" w:lastColumn="0" w:noHBand="0" w:noVBand="0"/>
      </w:tblPr>
      <w:tblGrid>
        <w:gridCol w:w="1774"/>
        <w:gridCol w:w="1080"/>
        <w:gridCol w:w="1080"/>
        <w:gridCol w:w="958"/>
        <w:gridCol w:w="851"/>
        <w:gridCol w:w="1134"/>
        <w:gridCol w:w="850"/>
        <w:gridCol w:w="1134"/>
        <w:gridCol w:w="1134"/>
      </w:tblGrid>
      <w:tr w:rsidR="005425E8" w:rsidRPr="00B91379" w:rsidTr="00AB57CB">
        <w:trPr>
          <w:trHeight w:val="255"/>
        </w:trPr>
        <w:tc>
          <w:tcPr>
            <w:tcW w:w="1774" w:type="dxa"/>
            <w:vMerge w:val="restart"/>
            <w:tcBorders>
              <w:top w:val="single" w:sz="4" w:space="0" w:color="auto"/>
              <w:left w:val="single" w:sz="4" w:space="0" w:color="auto"/>
              <w:bottom w:val="single" w:sz="4" w:space="0" w:color="auto"/>
              <w:right w:val="single" w:sz="4" w:space="0" w:color="auto"/>
            </w:tcBorders>
          </w:tcPr>
          <w:p w:rsidR="005425E8" w:rsidRPr="00B91379" w:rsidRDefault="005425E8" w:rsidP="00AB57CB">
            <w:pPr>
              <w:jc w:val="both"/>
              <w:rPr>
                <w:b/>
                <w:bCs/>
                <w:sz w:val="20"/>
                <w:szCs w:val="20"/>
              </w:rPr>
            </w:pPr>
            <w:r w:rsidRPr="00B91379">
              <w:rPr>
                <w:b/>
                <w:bCs/>
                <w:sz w:val="20"/>
                <w:szCs w:val="20"/>
              </w:rPr>
              <w:t>Наименование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5425E8" w:rsidRPr="00B91379" w:rsidRDefault="005425E8" w:rsidP="00AB57CB">
            <w:pPr>
              <w:jc w:val="center"/>
              <w:rPr>
                <w:b/>
                <w:bCs/>
                <w:sz w:val="22"/>
                <w:szCs w:val="22"/>
              </w:rPr>
            </w:pPr>
            <w:r w:rsidRPr="00B91379">
              <w:rPr>
                <w:b/>
                <w:bCs/>
                <w:sz w:val="22"/>
                <w:szCs w:val="22"/>
              </w:rPr>
              <w:t>2012 год</w:t>
            </w:r>
          </w:p>
        </w:tc>
        <w:tc>
          <w:tcPr>
            <w:tcW w:w="4023" w:type="dxa"/>
            <w:gridSpan w:val="4"/>
            <w:vMerge w:val="restart"/>
            <w:tcBorders>
              <w:top w:val="single" w:sz="4" w:space="0" w:color="auto"/>
              <w:left w:val="single" w:sz="4" w:space="0" w:color="auto"/>
              <w:bottom w:val="single" w:sz="4" w:space="0" w:color="auto"/>
              <w:right w:val="single" w:sz="4" w:space="0" w:color="auto"/>
            </w:tcBorders>
          </w:tcPr>
          <w:p w:rsidR="005425E8" w:rsidRPr="00B91379" w:rsidRDefault="005425E8" w:rsidP="00AB57CB">
            <w:pPr>
              <w:jc w:val="center"/>
              <w:rPr>
                <w:b/>
                <w:bCs/>
                <w:sz w:val="22"/>
                <w:szCs w:val="22"/>
              </w:rPr>
            </w:pPr>
            <w:r w:rsidRPr="00B91379">
              <w:rPr>
                <w:b/>
                <w:bCs/>
                <w:sz w:val="22"/>
                <w:szCs w:val="22"/>
              </w:rPr>
              <w:t>2013 год</w:t>
            </w:r>
          </w:p>
        </w:tc>
        <w:tc>
          <w:tcPr>
            <w:tcW w:w="3118" w:type="dxa"/>
            <w:gridSpan w:val="3"/>
            <w:vMerge w:val="restart"/>
            <w:tcBorders>
              <w:top w:val="single" w:sz="4" w:space="0" w:color="auto"/>
              <w:left w:val="single" w:sz="4" w:space="0" w:color="auto"/>
              <w:bottom w:val="single" w:sz="4" w:space="0" w:color="auto"/>
              <w:right w:val="single" w:sz="4" w:space="0" w:color="auto"/>
            </w:tcBorders>
          </w:tcPr>
          <w:p w:rsidR="005425E8" w:rsidRPr="00B91379" w:rsidRDefault="005425E8" w:rsidP="00AB57CB">
            <w:pPr>
              <w:jc w:val="center"/>
              <w:rPr>
                <w:b/>
                <w:bCs/>
                <w:sz w:val="22"/>
                <w:szCs w:val="22"/>
              </w:rPr>
            </w:pPr>
            <w:r w:rsidRPr="00B91379">
              <w:rPr>
                <w:b/>
                <w:bCs/>
                <w:sz w:val="22"/>
                <w:szCs w:val="22"/>
              </w:rPr>
              <w:t>2014 год</w:t>
            </w:r>
          </w:p>
        </w:tc>
      </w:tr>
      <w:tr w:rsidR="005425E8" w:rsidRPr="00B91379" w:rsidTr="00AB57CB">
        <w:trPr>
          <w:trHeight w:val="255"/>
        </w:trPr>
        <w:tc>
          <w:tcPr>
            <w:tcW w:w="1774" w:type="dxa"/>
            <w:vMerge/>
            <w:tcBorders>
              <w:top w:val="single" w:sz="4" w:space="0" w:color="auto"/>
              <w:left w:val="single" w:sz="4" w:space="0" w:color="auto"/>
              <w:bottom w:val="single" w:sz="4" w:space="0" w:color="auto"/>
              <w:right w:val="single" w:sz="4" w:space="0" w:color="auto"/>
            </w:tcBorders>
            <w:vAlign w:val="center"/>
          </w:tcPr>
          <w:p w:rsidR="005425E8" w:rsidRPr="00B91379" w:rsidRDefault="005425E8" w:rsidP="00AB57CB">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425E8" w:rsidRPr="00B91379" w:rsidRDefault="005425E8" w:rsidP="00AB57CB">
            <w:pPr>
              <w:rPr>
                <w:b/>
                <w:bCs/>
                <w:sz w:val="20"/>
                <w:szCs w:val="20"/>
              </w:rPr>
            </w:pPr>
          </w:p>
        </w:tc>
        <w:tc>
          <w:tcPr>
            <w:tcW w:w="4023" w:type="dxa"/>
            <w:gridSpan w:val="4"/>
            <w:vMerge/>
            <w:tcBorders>
              <w:top w:val="single" w:sz="4" w:space="0" w:color="auto"/>
              <w:left w:val="single" w:sz="4" w:space="0" w:color="auto"/>
              <w:bottom w:val="single" w:sz="4" w:space="0" w:color="auto"/>
              <w:right w:val="single" w:sz="4" w:space="0" w:color="auto"/>
            </w:tcBorders>
            <w:vAlign w:val="center"/>
          </w:tcPr>
          <w:p w:rsidR="005425E8" w:rsidRPr="00B91379" w:rsidRDefault="005425E8" w:rsidP="00AB57CB">
            <w:pPr>
              <w:rPr>
                <w:b/>
                <w:bCs/>
                <w:sz w:val="20"/>
                <w:szCs w:val="20"/>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tcPr>
          <w:p w:rsidR="005425E8" w:rsidRPr="00B91379" w:rsidRDefault="005425E8" w:rsidP="00AB57CB">
            <w:pPr>
              <w:rPr>
                <w:b/>
                <w:bCs/>
                <w:sz w:val="20"/>
                <w:szCs w:val="20"/>
              </w:rPr>
            </w:pPr>
          </w:p>
        </w:tc>
      </w:tr>
      <w:tr w:rsidR="00AB57CB" w:rsidRPr="005A12DA" w:rsidTr="00AB57CB">
        <w:trPr>
          <w:cantSplit/>
          <w:trHeight w:val="1244"/>
        </w:trPr>
        <w:tc>
          <w:tcPr>
            <w:tcW w:w="1774" w:type="dxa"/>
            <w:vMerge/>
            <w:tcBorders>
              <w:top w:val="single" w:sz="4" w:space="0" w:color="auto"/>
              <w:left w:val="single" w:sz="4" w:space="0" w:color="auto"/>
              <w:bottom w:val="single" w:sz="4" w:space="0" w:color="auto"/>
              <w:right w:val="single" w:sz="4" w:space="0" w:color="auto"/>
            </w:tcBorders>
            <w:vAlign w:val="center"/>
          </w:tcPr>
          <w:p w:rsidR="00AB57CB" w:rsidRPr="005A12DA" w:rsidRDefault="00AB57CB" w:rsidP="00AB57CB">
            <w:pPr>
              <w:rPr>
                <w:b/>
                <w:bCs/>
                <w:sz w:val="20"/>
                <w:szCs w:val="20"/>
              </w:rPr>
            </w:pPr>
          </w:p>
        </w:tc>
        <w:tc>
          <w:tcPr>
            <w:tcW w:w="1080"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факт</w:t>
            </w:r>
          </w:p>
        </w:tc>
        <w:tc>
          <w:tcPr>
            <w:tcW w:w="1080"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утвержденный план</w:t>
            </w:r>
          </w:p>
        </w:tc>
        <w:tc>
          <w:tcPr>
            <w:tcW w:w="958"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Прогнозный план</w:t>
            </w:r>
          </w:p>
        </w:tc>
        <w:tc>
          <w:tcPr>
            <w:tcW w:w="851"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Темп роста (</w:t>
            </w:r>
            <w:proofErr w:type="gramStart"/>
            <w:r w:rsidRPr="00382A78">
              <w:rPr>
                <w:b/>
                <w:bCs/>
                <w:sz w:val="18"/>
                <w:szCs w:val="18"/>
              </w:rPr>
              <w:t>в</w:t>
            </w:r>
            <w:proofErr w:type="gramEnd"/>
            <w:r w:rsidRPr="00382A78">
              <w:rPr>
                <w:b/>
                <w:bCs/>
                <w:sz w:val="18"/>
                <w:szCs w:val="18"/>
              </w:rPr>
              <w:t xml:space="preserve"> %)  к  факту</w:t>
            </w:r>
          </w:p>
          <w:p w:rsidR="00AB57CB" w:rsidRPr="00382A78" w:rsidRDefault="00AB57CB" w:rsidP="00AB57CB">
            <w:pPr>
              <w:ind w:left="-108" w:right="-20"/>
              <w:jc w:val="center"/>
              <w:rPr>
                <w:b/>
                <w:bCs/>
                <w:sz w:val="18"/>
                <w:szCs w:val="18"/>
              </w:rPr>
            </w:pPr>
            <w:r w:rsidRPr="00382A78">
              <w:rPr>
                <w:b/>
                <w:bCs/>
                <w:sz w:val="18"/>
                <w:szCs w:val="18"/>
              </w:rPr>
              <w:t>2012 года</w:t>
            </w:r>
          </w:p>
        </w:tc>
        <w:tc>
          <w:tcPr>
            <w:tcW w:w="1134"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Темп роста (</w:t>
            </w:r>
            <w:proofErr w:type="gramStart"/>
            <w:r w:rsidRPr="00382A78">
              <w:rPr>
                <w:b/>
                <w:bCs/>
                <w:sz w:val="18"/>
                <w:szCs w:val="18"/>
              </w:rPr>
              <w:t>в</w:t>
            </w:r>
            <w:proofErr w:type="gramEnd"/>
            <w:r w:rsidRPr="00382A78">
              <w:rPr>
                <w:b/>
                <w:bCs/>
                <w:sz w:val="18"/>
                <w:szCs w:val="18"/>
              </w:rPr>
              <w:t xml:space="preserve"> %)  к  плановым показателям</w:t>
            </w:r>
          </w:p>
          <w:p w:rsidR="00AB57CB" w:rsidRPr="00382A78" w:rsidRDefault="00AB57CB" w:rsidP="00AB57CB">
            <w:pPr>
              <w:ind w:left="-108" w:right="-20"/>
              <w:jc w:val="center"/>
              <w:rPr>
                <w:b/>
                <w:bCs/>
                <w:sz w:val="18"/>
                <w:szCs w:val="18"/>
              </w:rPr>
            </w:pPr>
            <w:r w:rsidRPr="00382A78">
              <w:rPr>
                <w:b/>
                <w:bCs/>
                <w:sz w:val="18"/>
                <w:szCs w:val="18"/>
              </w:rPr>
              <w:t>2013 года</w:t>
            </w:r>
          </w:p>
        </w:tc>
        <w:tc>
          <w:tcPr>
            <w:tcW w:w="850"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прогноз</w:t>
            </w:r>
          </w:p>
        </w:tc>
        <w:tc>
          <w:tcPr>
            <w:tcW w:w="1134"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Темп роста (</w:t>
            </w:r>
            <w:proofErr w:type="gramStart"/>
            <w:r w:rsidRPr="00382A78">
              <w:rPr>
                <w:b/>
                <w:bCs/>
                <w:sz w:val="18"/>
                <w:szCs w:val="18"/>
              </w:rPr>
              <w:t>в</w:t>
            </w:r>
            <w:proofErr w:type="gramEnd"/>
            <w:r w:rsidRPr="00382A78">
              <w:rPr>
                <w:b/>
                <w:bCs/>
                <w:sz w:val="18"/>
                <w:szCs w:val="18"/>
              </w:rPr>
              <w:t xml:space="preserve"> %)  к  плановым показателям</w:t>
            </w:r>
          </w:p>
          <w:p w:rsidR="00AB57CB" w:rsidRPr="00382A78" w:rsidRDefault="00AB57CB" w:rsidP="00AB57CB">
            <w:pPr>
              <w:ind w:left="-108" w:right="-20"/>
              <w:jc w:val="center"/>
              <w:rPr>
                <w:b/>
                <w:bCs/>
                <w:sz w:val="18"/>
                <w:szCs w:val="18"/>
              </w:rPr>
            </w:pPr>
            <w:r w:rsidRPr="00382A78">
              <w:rPr>
                <w:b/>
                <w:bCs/>
                <w:sz w:val="18"/>
                <w:szCs w:val="18"/>
              </w:rPr>
              <w:t>2013 года</w:t>
            </w:r>
          </w:p>
        </w:tc>
        <w:tc>
          <w:tcPr>
            <w:tcW w:w="1134" w:type="dxa"/>
            <w:tcBorders>
              <w:top w:val="nil"/>
              <w:left w:val="nil"/>
              <w:bottom w:val="single" w:sz="4" w:space="0" w:color="auto"/>
              <w:right w:val="single" w:sz="4" w:space="0" w:color="auto"/>
            </w:tcBorders>
          </w:tcPr>
          <w:p w:rsidR="00AB57CB" w:rsidRPr="00382A78" w:rsidRDefault="00AB57CB" w:rsidP="00AB57CB">
            <w:pPr>
              <w:ind w:left="-108" w:right="-20"/>
              <w:jc w:val="center"/>
              <w:rPr>
                <w:b/>
                <w:bCs/>
                <w:sz w:val="18"/>
                <w:szCs w:val="18"/>
              </w:rPr>
            </w:pPr>
            <w:r w:rsidRPr="00382A78">
              <w:rPr>
                <w:b/>
                <w:bCs/>
                <w:sz w:val="18"/>
                <w:szCs w:val="18"/>
              </w:rPr>
              <w:t>Темп роста (</w:t>
            </w:r>
            <w:proofErr w:type="gramStart"/>
            <w:r w:rsidRPr="00382A78">
              <w:rPr>
                <w:b/>
                <w:bCs/>
                <w:sz w:val="18"/>
                <w:szCs w:val="18"/>
              </w:rPr>
              <w:t>в</w:t>
            </w:r>
            <w:proofErr w:type="gramEnd"/>
            <w:r w:rsidRPr="00382A78">
              <w:rPr>
                <w:b/>
                <w:bCs/>
                <w:sz w:val="18"/>
                <w:szCs w:val="18"/>
              </w:rPr>
              <w:t xml:space="preserve"> %) к уточненным  показателям</w:t>
            </w:r>
          </w:p>
          <w:p w:rsidR="00AB57CB" w:rsidRPr="00382A78" w:rsidRDefault="00AB57CB" w:rsidP="00AB57CB">
            <w:pPr>
              <w:ind w:left="-108" w:right="-20"/>
              <w:jc w:val="center"/>
              <w:rPr>
                <w:b/>
                <w:bCs/>
                <w:sz w:val="18"/>
                <w:szCs w:val="18"/>
              </w:rPr>
            </w:pPr>
            <w:r w:rsidRPr="00382A78">
              <w:rPr>
                <w:b/>
                <w:bCs/>
                <w:sz w:val="18"/>
                <w:szCs w:val="18"/>
              </w:rPr>
              <w:t>2013 года</w:t>
            </w:r>
          </w:p>
        </w:tc>
      </w:tr>
      <w:tr w:rsidR="00AB57CB" w:rsidRPr="005A12DA" w:rsidTr="00AB57CB">
        <w:trPr>
          <w:trHeight w:val="188"/>
        </w:trPr>
        <w:tc>
          <w:tcPr>
            <w:tcW w:w="1774" w:type="dxa"/>
            <w:tcBorders>
              <w:top w:val="nil"/>
              <w:left w:val="single" w:sz="4" w:space="0" w:color="auto"/>
              <w:bottom w:val="single" w:sz="4" w:space="0" w:color="auto"/>
              <w:right w:val="single" w:sz="4" w:space="0" w:color="auto"/>
            </w:tcBorders>
          </w:tcPr>
          <w:p w:rsidR="00AB57CB" w:rsidRPr="005A12DA" w:rsidRDefault="00AB57CB" w:rsidP="00AB57CB">
            <w:pPr>
              <w:jc w:val="center"/>
              <w:rPr>
                <w:sz w:val="20"/>
                <w:szCs w:val="20"/>
              </w:rPr>
            </w:pPr>
            <w:r w:rsidRPr="005A12DA">
              <w:rPr>
                <w:sz w:val="20"/>
                <w:szCs w:val="20"/>
              </w:rPr>
              <w:t>1</w:t>
            </w:r>
          </w:p>
        </w:tc>
        <w:tc>
          <w:tcPr>
            <w:tcW w:w="1080" w:type="dxa"/>
            <w:tcBorders>
              <w:top w:val="nil"/>
              <w:left w:val="nil"/>
              <w:bottom w:val="single" w:sz="4" w:space="0" w:color="auto"/>
              <w:right w:val="single" w:sz="4" w:space="0" w:color="auto"/>
            </w:tcBorders>
          </w:tcPr>
          <w:p w:rsidR="00AB57CB" w:rsidRPr="00382A78" w:rsidRDefault="00AB57CB" w:rsidP="00AB57CB">
            <w:pPr>
              <w:jc w:val="center"/>
              <w:rPr>
                <w:sz w:val="20"/>
                <w:szCs w:val="20"/>
              </w:rPr>
            </w:pPr>
            <w:r w:rsidRPr="00382A78">
              <w:rPr>
                <w:sz w:val="20"/>
                <w:szCs w:val="20"/>
              </w:rPr>
              <w:t>2</w:t>
            </w:r>
          </w:p>
        </w:tc>
        <w:tc>
          <w:tcPr>
            <w:tcW w:w="1080" w:type="dxa"/>
            <w:tcBorders>
              <w:top w:val="nil"/>
              <w:left w:val="nil"/>
              <w:bottom w:val="single" w:sz="4" w:space="0" w:color="auto"/>
              <w:right w:val="single" w:sz="4" w:space="0" w:color="auto"/>
            </w:tcBorders>
          </w:tcPr>
          <w:p w:rsidR="00AB57CB" w:rsidRPr="00382A78" w:rsidRDefault="00AB57CB" w:rsidP="00AB57CB">
            <w:pPr>
              <w:jc w:val="center"/>
              <w:rPr>
                <w:sz w:val="20"/>
                <w:szCs w:val="20"/>
              </w:rPr>
            </w:pPr>
            <w:r w:rsidRPr="00382A78">
              <w:rPr>
                <w:sz w:val="20"/>
                <w:szCs w:val="20"/>
              </w:rPr>
              <w:t>3</w:t>
            </w:r>
          </w:p>
        </w:tc>
        <w:tc>
          <w:tcPr>
            <w:tcW w:w="958" w:type="dxa"/>
            <w:tcBorders>
              <w:top w:val="nil"/>
              <w:left w:val="nil"/>
              <w:bottom w:val="single" w:sz="4" w:space="0" w:color="auto"/>
              <w:right w:val="single" w:sz="4" w:space="0" w:color="auto"/>
            </w:tcBorders>
          </w:tcPr>
          <w:p w:rsidR="00AB57CB" w:rsidRPr="00382A78" w:rsidRDefault="00AB57CB" w:rsidP="00AB57CB">
            <w:pPr>
              <w:jc w:val="center"/>
              <w:rPr>
                <w:sz w:val="20"/>
                <w:szCs w:val="20"/>
              </w:rPr>
            </w:pPr>
            <w:r w:rsidRPr="00382A78">
              <w:rPr>
                <w:sz w:val="20"/>
                <w:szCs w:val="20"/>
              </w:rPr>
              <w:t>4</w:t>
            </w:r>
          </w:p>
        </w:tc>
        <w:tc>
          <w:tcPr>
            <w:tcW w:w="851" w:type="dxa"/>
            <w:tcBorders>
              <w:top w:val="nil"/>
              <w:left w:val="nil"/>
              <w:bottom w:val="single" w:sz="4" w:space="0" w:color="auto"/>
              <w:right w:val="single" w:sz="4" w:space="0" w:color="auto"/>
            </w:tcBorders>
          </w:tcPr>
          <w:p w:rsidR="00AB57CB" w:rsidRPr="00382A78" w:rsidRDefault="00AB57CB" w:rsidP="00AB57CB">
            <w:pPr>
              <w:jc w:val="center"/>
              <w:rPr>
                <w:sz w:val="20"/>
                <w:szCs w:val="20"/>
              </w:rPr>
            </w:pPr>
            <w:r w:rsidRPr="00382A78">
              <w:rPr>
                <w:sz w:val="20"/>
                <w:szCs w:val="20"/>
              </w:rPr>
              <w:t>5</w:t>
            </w:r>
          </w:p>
        </w:tc>
        <w:tc>
          <w:tcPr>
            <w:tcW w:w="1134" w:type="dxa"/>
            <w:tcBorders>
              <w:top w:val="nil"/>
              <w:left w:val="nil"/>
              <w:bottom w:val="single" w:sz="4" w:space="0" w:color="auto"/>
              <w:right w:val="single" w:sz="4" w:space="0" w:color="auto"/>
            </w:tcBorders>
          </w:tcPr>
          <w:p w:rsidR="00AB57CB" w:rsidRPr="00382A78" w:rsidRDefault="00AB57CB" w:rsidP="00AB57CB">
            <w:pPr>
              <w:jc w:val="center"/>
              <w:rPr>
                <w:rFonts w:ascii="Arial CYR" w:hAnsi="Arial CYR" w:cs="Arial CYR"/>
                <w:sz w:val="20"/>
                <w:szCs w:val="20"/>
              </w:rPr>
            </w:pPr>
            <w:r w:rsidRPr="00382A78">
              <w:rPr>
                <w:rFonts w:ascii="Arial CYR" w:hAnsi="Arial CYR" w:cs="Arial CYR"/>
                <w:sz w:val="20"/>
                <w:szCs w:val="20"/>
              </w:rPr>
              <w:t>6</w:t>
            </w:r>
          </w:p>
        </w:tc>
        <w:tc>
          <w:tcPr>
            <w:tcW w:w="850" w:type="dxa"/>
            <w:tcBorders>
              <w:top w:val="nil"/>
              <w:left w:val="nil"/>
              <w:bottom w:val="single" w:sz="4" w:space="0" w:color="auto"/>
              <w:right w:val="single" w:sz="4" w:space="0" w:color="auto"/>
            </w:tcBorders>
          </w:tcPr>
          <w:p w:rsidR="00AB57CB" w:rsidRPr="00382A78" w:rsidRDefault="00AB57CB" w:rsidP="00AB57CB">
            <w:pPr>
              <w:jc w:val="center"/>
              <w:rPr>
                <w:rFonts w:ascii="Arial CYR" w:hAnsi="Arial CYR" w:cs="Arial CYR"/>
                <w:sz w:val="20"/>
                <w:szCs w:val="20"/>
              </w:rPr>
            </w:pPr>
            <w:r w:rsidRPr="00382A78">
              <w:rPr>
                <w:rFonts w:ascii="Arial CYR" w:hAnsi="Arial CYR" w:cs="Arial CYR"/>
                <w:sz w:val="20"/>
                <w:szCs w:val="20"/>
              </w:rPr>
              <w:t>7</w:t>
            </w:r>
          </w:p>
        </w:tc>
        <w:tc>
          <w:tcPr>
            <w:tcW w:w="1134" w:type="dxa"/>
            <w:tcBorders>
              <w:top w:val="nil"/>
              <w:left w:val="nil"/>
              <w:bottom w:val="single" w:sz="4" w:space="0" w:color="auto"/>
              <w:right w:val="single" w:sz="4" w:space="0" w:color="auto"/>
            </w:tcBorders>
          </w:tcPr>
          <w:p w:rsidR="00AB57CB" w:rsidRPr="00382A78" w:rsidRDefault="00AB57CB" w:rsidP="00AB57CB">
            <w:pPr>
              <w:jc w:val="center"/>
              <w:rPr>
                <w:rFonts w:ascii="Arial CYR" w:hAnsi="Arial CYR" w:cs="Arial CYR"/>
                <w:sz w:val="20"/>
                <w:szCs w:val="20"/>
              </w:rPr>
            </w:pPr>
            <w:r w:rsidRPr="00382A78">
              <w:rPr>
                <w:rFonts w:ascii="Arial CYR" w:hAnsi="Arial CYR" w:cs="Arial CYR"/>
                <w:sz w:val="20"/>
                <w:szCs w:val="20"/>
              </w:rPr>
              <w:t>8</w:t>
            </w:r>
          </w:p>
        </w:tc>
        <w:tc>
          <w:tcPr>
            <w:tcW w:w="1134" w:type="dxa"/>
            <w:tcBorders>
              <w:top w:val="nil"/>
              <w:left w:val="nil"/>
              <w:bottom w:val="single" w:sz="4" w:space="0" w:color="auto"/>
              <w:right w:val="single" w:sz="4" w:space="0" w:color="auto"/>
            </w:tcBorders>
          </w:tcPr>
          <w:p w:rsidR="00AB57CB" w:rsidRPr="00382A78" w:rsidRDefault="00AB57CB" w:rsidP="00AB57CB">
            <w:pPr>
              <w:jc w:val="center"/>
              <w:rPr>
                <w:rFonts w:ascii="Arial CYR" w:hAnsi="Arial CYR" w:cs="Arial CYR"/>
                <w:sz w:val="20"/>
                <w:szCs w:val="20"/>
              </w:rPr>
            </w:pPr>
            <w:r w:rsidRPr="00382A78">
              <w:rPr>
                <w:rFonts w:ascii="Arial CYR" w:hAnsi="Arial CYR" w:cs="Arial CYR"/>
                <w:sz w:val="20"/>
                <w:szCs w:val="20"/>
              </w:rPr>
              <w:t>9</w:t>
            </w:r>
          </w:p>
        </w:tc>
      </w:tr>
      <w:tr w:rsidR="001C57E2" w:rsidRPr="005A12DA" w:rsidTr="00AB57CB">
        <w:trPr>
          <w:trHeight w:val="673"/>
        </w:trPr>
        <w:tc>
          <w:tcPr>
            <w:tcW w:w="1774" w:type="dxa"/>
            <w:tcBorders>
              <w:top w:val="nil"/>
              <w:left w:val="single" w:sz="4" w:space="0" w:color="auto"/>
              <w:bottom w:val="single" w:sz="4" w:space="0" w:color="auto"/>
              <w:right w:val="single" w:sz="4" w:space="0" w:color="auto"/>
            </w:tcBorders>
          </w:tcPr>
          <w:p w:rsidR="001C57E2" w:rsidRPr="005A12DA" w:rsidRDefault="001C57E2" w:rsidP="00AB57CB">
            <w:pPr>
              <w:jc w:val="both"/>
              <w:rPr>
                <w:sz w:val="22"/>
                <w:szCs w:val="22"/>
              </w:rPr>
            </w:pPr>
            <w:r w:rsidRPr="005A12DA">
              <w:rPr>
                <w:sz w:val="22"/>
                <w:szCs w:val="22"/>
              </w:rPr>
              <w:t>Собственные доходы, в том числе:</w:t>
            </w:r>
          </w:p>
        </w:tc>
        <w:tc>
          <w:tcPr>
            <w:tcW w:w="108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392,2</w:t>
            </w:r>
          </w:p>
        </w:tc>
        <w:tc>
          <w:tcPr>
            <w:tcW w:w="108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297,0</w:t>
            </w:r>
          </w:p>
        </w:tc>
        <w:tc>
          <w:tcPr>
            <w:tcW w:w="958"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408,0</w:t>
            </w:r>
          </w:p>
        </w:tc>
        <w:tc>
          <w:tcPr>
            <w:tcW w:w="851"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4,0</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37,4</w:t>
            </w:r>
          </w:p>
        </w:tc>
        <w:tc>
          <w:tcPr>
            <w:tcW w:w="85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495,0</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66,7</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21,3</w:t>
            </w:r>
          </w:p>
        </w:tc>
      </w:tr>
      <w:tr w:rsidR="001C57E2" w:rsidRPr="005A12DA" w:rsidTr="00DE38C5">
        <w:trPr>
          <w:trHeight w:val="510"/>
        </w:trPr>
        <w:tc>
          <w:tcPr>
            <w:tcW w:w="1774" w:type="dxa"/>
            <w:tcBorders>
              <w:top w:val="nil"/>
              <w:left w:val="single" w:sz="4" w:space="0" w:color="auto"/>
              <w:bottom w:val="single" w:sz="4" w:space="0" w:color="auto"/>
              <w:right w:val="single" w:sz="4" w:space="0" w:color="auto"/>
            </w:tcBorders>
          </w:tcPr>
          <w:p w:rsidR="001C57E2" w:rsidRPr="005A12DA" w:rsidRDefault="001C57E2" w:rsidP="001C57E2">
            <w:pPr>
              <w:jc w:val="both"/>
              <w:rPr>
                <w:sz w:val="22"/>
                <w:szCs w:val="22"/>
              </w:rPr>
            </w:pPr>
            <w:r w:rsidRPr="005A12DA">
              <w:rPr>
                <w:sz w:val="22"/>
                <w:szCs w:val="22"/>
              </w:rPr>
              <w:t>Налоговые доходы</w:t>
            </w:r>
          </w:p>
        </w:tc>
        <w:tc>
          <w:tcPr>
            <w:tcW w:w="108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300,4</w:t>
            </w:r>
          </w:p>
        </w:tc>
        <w:tc>
          <w:tcPr>
            <w:tcW w:w="108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283,0</w:t>
            </w:r>
          </w:p>
        </w:tc>
        <w:tc>
          <w:tcPr>
            <w:tcW w:w="958"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298,0</w:t>
            </w:r>
          </w:p>
        </w:tc>
        <w:tc>
          <w:tcPr>
            <w:tcW w:w="851"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-0,8</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5,3</w:t>
            </w:r>
          </w:p>
        </w:tc>
        <w:tc>
          <w:tcPr>
            <w:tcW w:w="85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407,0</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43,8</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36,6</w:t>
            </w:r>
          </w:p>
        </w:tc>
      </w:tr>
      <w:tr w:rsidR="001C57E2" w:rsidRPr="005A12DA" w:rsidTr="00DE38C5">
        <w:trPr>
          <w:trHeight w:val="465"/>
        </w:trPr>
        <w:tc>
          <w:tcPr>
            <w:tcW w:w="1774" w:type="dxa"/>
            <w:tcBorders>
              <w:top w:val="nil"/>
              <w:left w:val="single" w:sz="4" w:space="0" w:color="auto"/>
              <w:bottom w:val="single" w:sz="4" w:space="0" w:color="auto"/>
              <w:right w:val="single" w:sz="4" w:space="0" w:color="auto"/>
            </w:tcBorders>
          </w:tcPr>
          <w:p w:rsidR="001C57E2" w:rsidRPr="005A12DA" w:rsidRDefault="001C57E2" w:rsidP="001C57E2">
            <w:pPr>
              <w:jc w:val="both"/>
              <w:rPr>
                <w:sz w:val="22"/>
                <w:szCs w:val="22"/>
              </w:rPr>
            </w:pPr>
            <w:r w:rsidRPr="005A12DA">
              <w:rPr>
                <w:sz w:val="22"/>
                <w:szCs w:val="22"/>
              </w:rPr>
              <w:t>Неналоговые доходы</w:t>
            </w:r>
          </w:p>
        </w:tc>
        <w:tc>
          <w:tcPr>
            <w:tcW w:w="108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91,8</w:t>
            </w:r>
          </w:p>
        </w:tc>
        <w:tc>
          <w:tcPr>
            <w:tcW w:w="108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14,0</w:t>
            </w:r>
          </w:p>
        </w:tc>
        <w:tc>
          <w:tcPr>
            <w:tcW w:w="958"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110,0</w:t>
            </w:r>
          </w:p>
        </w:tc>
        <w:tc>
          <w:tcPr>
            <w:tcW w:w="851"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19,8</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685,7</w:t>
            </w:r>
          </w:p>
        </w:tc>
        <w:tc>
          <w:tcPr>
            <w:tcW w:w="850" w:type="dxa"/>
            <w:tcBorders>
              <w:top w:val="nil"/>
              <w:left w:val="nil"/>
              <w:bottom w:val="single" w:sz="4" w:space="0" w:color="auto"/>
              <w:right w:val="single" w:sz="4" w:space="0" w:color="auto"/>
            </w:tcBorders>
            <w:vAlign w:val="center"/>
          </w:tcPr>
          <w:p w:rsidR="001C57E2" w:rsidRPr="00382A78" w:rsidRDefault="001C57E2">
            <w:pPr>
              <w:jc w:val="right"/>
              <w:rPr>
                <w:sz w:val="22"/>
                <w:szCs w:val="22"/>
              </w:rPr>
            </w:pPr>
            <w:r w:rsidRPr="00382A78">
              <w:rPr>
                <w:sz w:val="22"/>
                <w:szCs w:val="22"/>
              </w:rPr>
              <w:t>88,0</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528,6</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-20,0</w:t>
            </w:r>
          </w:p>
        </w:tc>
      </w:tr>
      <w:tr w:rsidR="001C57E2" w:rsidRPr="005A12DA" w:rsidTr="00DE38C5">
        <w:trPr>
          <w:trHeight w:val="529"/>
        </w:trPr>
        <w:tc>
          <w:tcPr>
            <w:tcW w:w="1774" w:type="dxa"/>
            <w:tcBorders>
              <w:top w:val="nil"/>
              <w:left w:val="single" w:sz="4" w:space="0" w:color="auto"/>
              <w:bottom w:val="single" w:sz="4" w:space="0" w:color="auto"/>
              <w:right w:val="single" w:sz="4" w:space="0" w:color="auto"/>
            </w:tcBorders>
          </w:tcPr>
          <w:p w:rsidR="001C57E2" w:rsidRPr="005A12DA" w:rsidRDefault="001C57E2" w:rsidP="001C57E2">
            <w:pPr>
              <w:jc w:val="both"/>
              <w:rPr>
                <w:sz w:val="22"/>
                <w:szCs w:val="22"/>
              </w:rPr>
            </w:pPr>
            <w:r w:rsidRPr="005A12DA">
              <w:rPr>
                <w:sz w:val="22"/>
                <w:szCs w:val="22"/>
              </w:rPr>
              <w:t>Безвозмездные перечисления</w:t>
            </w:r>
          </w:p>
        </w:tc>
        <w:tc>
          <w:tcPr>
            <w:tcW w:w="1080" w:type="dxa"/>
            <w:tcBorders>
              <w:top w:val="nil"/>
              <w:left w:val="nil"/>
              <w:bottom w:val="single" w:sz="4" w:space="0" w:color="auto"/>
              <w:right w:val="single" w:sz="4" w:space="0" w:color="auto"/>
            </w:tcBorders>
            <w:vAlign w:val="center"/>
          </w:tcPr>
          <w:p w:rsidR="001C57E2" w:rsidRPr="00382A78" w:rsidRDefault="001C57E2" w:rsidP="001C57E2">
            <w:pPr>
              <w:jc w:val="right"/>
              <w:rPr>
                <w:sz w:val="22"/>
                <w:szCs w:val="22"/>
              </w:rPr>
            </w:pPr>
            <w:r w:rsidRPr="00382A78">
              <w:rPr>
                <w:sz w:val="22"/>
                <w:szCs w:val="22"/>
              </w:rPr>
              <w:t>1480,0</w:t>
            </w:r>
          </w:p>
        </w:tc>
        <w:tc>
          <w:tcPr>
            <w:tcW w:w="1080" w:type="dxa"/>
            <w:tcBorders>
              <w:top w:val="nil"/>
              <w:left w:val="nil"/>
              <w:bottom w:val="single" w:sz="4" w:space="0" w:color="auto"/>
              <w:right w:val="single" w:sz="4" w:space="0" w:color="auto"/>
            </w:tcBorders>
            <w:vAlign w:val="center"/>
          </w:tcPr>
          <w:p w:rsidR="001C57E2" w:rsidRPr="00382A78" w:rsidRDefault="001C57E2" w:rsidP="001C57E2">
            <w:pPr>
              <w:jc w:val="right"/>
              <w:rPr>
                <w:sz w:val="22"/>
                <w:szCs w:val="22"/>
              </w:rPr>
            </w:pPr>
            <w:r w:rsidRPr="00382A78">
              <w:rPr>
                <w:sz w:val="22"/>
                <w:szCs w:val="22"/>
              </w:rPr>
              <w:t>1476,0</w:t>
            </w:r>
          </w:p>
        </w:tc>
        <w:tc>
          <w:tcPr>
            <w:tcW w:w="958" w:type="dxa"/>
            <w:tcBorders>
              <w:top w:val="nil"/>
              <w:left w:val="nil"/>
              <w:bottom w:val="single" w:sz="4" w:space="0" w:color="auto"/>
              <w:right w:val="single" w:sz="4" w:space="0" w:color="auto"/>
            </w:tcBorders>
            <w:vAlign w:val="center"/>
          </w:tcPr>
          <w:p w:rsidR="001C57E2" w:rsidRPr="00382A78" w:rsidRDefault="001C57E2" w:rsidP="001C57E2">
            <w:pPr>
              <w:jc w:val="right"/>
              <w:rPr>
                <w:sz w:val="22"/>
                <w:szCs w:val="22"/>
              </w:rPr>
            </w:pPr>
            <w:r w:rsidRPr="00382A78">
              <w:rPr>
                <w:sz w:val="22"/>
                <w:szCs w:val="22"/>
              </w:rPr>
              <w:t>1742,2</w:t>
            </w:r>
          </w:p>
        </w:tc>
        <w:tc>
          <w:tcPr>
            <w:tcW w:w="851"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17,7</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18,0</w:t>
            </w:r>
          </w:p>
        </w:tc>
        <w:tc>
          <w:tcPr>
            <w:tcW w:w="850" w:type="dxa"/>
            <w:tcBorders>
              <w:top w:val="nil"/>
              <w:left w:val="nil"/>
              <w:bottom w:val="single" w:sz="4" w:space="0" w:color="auto"/>
              <w:right w:val="single" w:sz="4" w:space="0" w:color="auto"/>
            </w:tcBorders>
            <w:vAlign w:val="center"/>
          </w:tcPr>
          <w:p w:rsidR="001C57E2" w:rsidRPr="00382A78" w:rsidRDefault="001C57E2" w:rsidP="001C57E2">
            <w:pPr>
              <w:jc w:val="right"/>
              <w:rPr>
                <w:sz w:val="22"/>
                <w:szCs w:val="22"/>
              </w:rPr>
            </w:pPr>
            <w:r w:rsidRPr="00382A78">
              <w:rPr>
                <w:sz w:val="22"/>
                <w:szCs w:val="22"/>
              </w:rPr>
              <w:t>1573,4</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6,6</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-9,7</w:t>
            </w:r>
          </w:p>
        </w:tc>
      </w:tr>
      <w:tr w:rsidR="001C57E2" w:rsidRPr="005A12DA" w:rsidTr="00AB57CB">
        <w:trPr>
          <w:trHeight w:val="344"/>
        </w:trPr>
        <w:tc>
          <w:tcPr>
            <w:tcW w:w="1774" w:type="dxa"/>
            <w:tcBorders>
              <w:top w:val="nil"/>
              <w:left w:val="single" w:sz="4" w:space="0" w:color="auto"/>
              <w:bottom w:val="single" w:sz="4" w:space="0" w:color="auto"/>
              <w:right w:val="single" w:sz="4" w:space="0" w:color="auto"/>
            </w:tcBorders>
          </w:tcPr>
          <w:p w:rsidR="001C57E2" w:rsidRPr="005A12DA" w:rsidRDefault="001C57E2" w:rsidP="001C57E2">
            <w:pPr>
              <w:jc w:val="both"/>
              <w:rPr>
                <w:b/>
                <w:sz w:val="22"/>
                <w:szCs w:val="22"/>
              </w:rPr>
            </w:pPr>
            <w:r w:rsidRPr="005A12DA">
              <w:rPr>
                <w:b/>
                <w:sz w:val="22"/>
                <w:szCs w:val="22"/>
              </w:rPr>
              <w:t>Всего доходы</w:t>
            </w:r>
          </w:p>
        </w:tc>
        <w:tc>
          <w:tcPr>
            <w:tcW w:w="1080"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1872,2</w:t>
            </w:r>
          </w:p>
        </w:tc>
        <w:tc>
          <w:tcPr>
            <w:tcW w:w="1080" w:type="dxa"/>
            <w:tcBorders>
              <w:top w:val="nil"/>
              <w:left w:val="nil"/>
              <w:bottom w:val="single" w:sz="4" w:space="0" w:color="auto"/>
              <w:right w:val="single" w:sz="4" w:space="0" w:color="auto"/>
            </w:tcBorders>
            <w:vAlign w:val="center"/>
          </w:tcPr>
          <w:p w:rsidR="001C57E2" w:rsidRPr="00382A78" w:rsidRDefault="001C57E2" w:rsidP="001C57E2">
            <w:pPr>
              <w:jc w:val="right"/>
              <w:rPr>
                <w:b/>
                <w:sz w:val="22"/>
                <w:szCs w:val="22"/>
              </w:rPr>
            </w:pPr>
            <w:r w:rsidRPr="00382A78">
              <w:rPr>
                <w:b/>
                <w:sz w:val="22"/>
                <w:szCs w:val="22"/>
              </w:rPr>
              <w:t>1773,0</w:t>
            </w:r>
          </w:p>
        </w:tc>
        <w:tc>
          <w:tcPr>
            <w:tcW w:w="958"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2150,2</w:t>
            </w:r>
          </w:p>
        </w:tc>
        <w:tc>
          <w:tcPr>
            <w:tcW w:w="851"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14,8</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21,3</w:t>
            </w:r>
          </w:p>
        </w:tc>
        <w:tc>
          <w:tcPr>
            <w:tcW w:w="850"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2068,4</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16,7</w:t>
            </w:r>
          </w:p>
        </w:tc>
        <w:tc>
          <w:tcPr>
            <w:tcW w:w="1134" w:type="dxa"/>
            <w:tcBorders>
              <w:top w:val="nil"/>
              <w:left w:val="nil"/>
              <w:bottom w:val="single" w:sz="4" w:space="0" w:color="auto"/>
              <w:right w:val="single" w:sz="4" w:space="0" w:color="auto"/>
            </w:tcBorders>
            <w:vAlign w:val="center"/>
          </w:tcPr>
          <w:p w:rsidR="001C57E2" w:rsidRPr="00382A78" w:rsidRDefault="001C57E2" w:rsidP="001C57E2">
            <w:pPr>
              <w:jc w:val="right"/>
              <w:rPr>
                <w:b/>
                <w:bCs/>
                <w:sz w:val="22"/>
                <w:szCs w:val="22"/>
              </w:rPr>
            </w:pPr>
            <w:r w:rsidRPr="00382A78">
              <w:rPr>
                <w:b/>
                <w:bCs/>
                <w:sz w:val="22"/>
                <w:szCs w:val="22"/>
              </w:rPr>
              <w:t>-3,8</w:t>
            </w:r>
          </w:p>
        </w:tc>
      </w:tr>
    </w:tbl>
    <w:p w:rsidR="001D3843" w:rsidRPr="0078586F" w:rsidRDefault="005425E8" w:rsidP="001D3843">
      <w:pPr>
        <w:spacing w:before="100" w:beforeAutospacing="1" w:after="100" w:afterAutospacing="1" w:line="276" w:lineRule="auto"/>
        <w:ind w:right="-1" w:firstLine="709"/>
        <w:jc w:val="both"/>
        <w:rPr>
          <w:sz w:val="28"/>
          <w:szCs w:val="28"/>
        </w:rPr>
      </w:pPr>
      <w:r w:rsidRPr="005A12DA">
        <w:rPr>
          <w:sz w:val="28"/>
          <w:szCs w:val="28"/>
        </w:rPr>
        <w:t xml:space="preserve">Как свидетельствуют приведенные в Таблице № </w:t>
      </w:r>
      <w:r w:rsidR="00AB57CB" w:rsidRPr="005A12DA">
        <w:rPr>
          <w:sz w:val="28"/>
          <w:szCs w:val="28"/>
        </w:rPr>
        <w:t>3</w:t>
      </w:r>
      <w:r w:rsidRPr="005A12DA">
        <w:rPr>
          <w:sz w:val="28"/>
          <w:szCs w:val="28"/>
        </w:rPr>
        <w:t xml:space="preserve"> данные, в</w:t>
      </w:r>
      <w:r w:rsidRPr="0078586F">
        <w:rPr>
          <w:sz w:val="28"/>
          <w:szCs w:val="28"/>
        </w:rPr>
        <w:t xml:space="preserve"> 2014 году прогнозируется </w:t>
      </w:r>
      <w:r w:rsidR="005A12DA">
        <w:rPr>
          <w:sz w:val="28"/>
          <w:szCs w:val="28"/>
        </w:rPr>
        <w:t>увеличение</w:t>
      </w:r>
      <w:r w:rsidRPr="0078586F">
        <w:rPr>
          <w:sz w:val="28"/>
          <w:szCs w:val="28"/>
        </w:rPr>
        <w:t xml:space="preserve"> по отношению к утвержденным плановым назначениям 2013 года (в последней редакции бюджета)</w:t>
      </w:r>
      <w:r w:rsidR="005A12DA" w:rsidRPr="005A12DA">
        <w:rPr>
          <w:sz w:val="28"/>
          <w:szCs w:val="28"/>
        </w:rPr>
        <w:t xml:space="preserve"> </w:t>
      </w:r>
      <w:r w:rsidR="005A12DA" w:rsidRPr="0078586F">
        <w:rPr>
          <w:sz w:val="28"/>
          <w:szCs w:val="28"/>
        </w:rPr>
        <w:t>н</w:t>
      </w:r>
      <w:r w:rsidR="005A12DA">
        <w:rPr>
          <w:sz w:val="28"/>
          <w:szCs w:val="28"/>
        </w:rPr>
        <w:t>алоговых доходов на 1</w:t>
      </w:r>
      <w:r w:rsidR="001D3843">
        <w:rPr>
          <w:sz w:val="28"/>
          <w:szCs w:val="28"/>
        </w:rPr>
        <w:t>09</w:t>
      </w:r>
      <w:r w:rsidR="005A12DA">
        <w:rPr>
          <w:sz w:val="28"/>
          <w:szCs w:val="28"/>
        </w:rPr>
        <w:t>,0 тыс. руб</w:t>
      </w:r>
      <w:r w:rsidR="001D3843">
        <w:rPr>
          <w:sz w:val="28"/>
          <w:szCs w:val="28"/>
        </w:rPr>
        <w:t>.</w:t>
      </w:r>
      <w:r w:rsidR="001D3843" w:rsidRPr="001D3843">
        <w:rPr>
          <w:sz w:val="28"/>
          <w:szCs w:val="28"/>
        </w:rPr>
        <w:t xml:space="preserve"> </w:t>
      </w:r>
      <w:r w:rsidR="001D3843">
        <w:rPr>
          <w:sz w:val="28"/>
          <w:szCs w:val="28"/>
        </w:rPr>
        <w:t>и уменьшение</w:t>
      </w:r>
      <w:r w:rsidR="001D3843" w:rsidRPr="0078586F">
        <w:rPr>
          <w:sz w:val="28"/>
          <w:szCs w:val="28"/>
        </w:rPr>
        <w:t xml:space="preserve"> неналоговых доходов на сумму </w:t>
      </w:r>
      <w:r w:rsidR="00674F96">
        <w:rPr>
          <w:sz w:val="28"/>
          <w:szCs w:val="28"/>
        </w:rPr>
        <w:t>22,0</w:t>
      </w:r>
      <w:r w:rsidR="001D3843">
        <w:rPr>
          <w:sz w:val="28"/>
          <w:szCs w:val="28"/>
        </w:rPr>
        <w:t xml:space="preserve"> </w:t>
      </w:r>
      <w:r w:rsidR="001D3843" w:rsidRPr="0078586F">
        <w:rPr>
          <w:sz w:val="28"/>
          <w:szCs w:val="28"/>
        </w:rPr>
        <w:t>тыс. руб., безвозмездны</w:t>
      </w:r>
      <w:r w:rsidR="001D3843">
        <w:rPr>
          <w:sz w:val="28"/>
          <w:szCs w:val="28"/>
        </w:rPr>
        <w:t>х</w:t>
      </w:r>
      <w:r w:rsidR="001D3843" w:rsidRPr="0078586F">
        <w:rPr>
          <w:sz w:val="28"/>
          <w:szCs w:val="28"/>
        </w:rPr>
        <w:t xml:space="preserve"> поступлени</w:t>
      </w:r>
      <w:r w:rsidR="001D3843">
        <w:rPr>
          <w:sz w:val="28"/>
          <w:szCs w:val="28"/>
        </w:rPr>
        <w:t>й</w:t>
      </w:r>
      <w:r w:rsidR="001D3843" w:rsidRPr="0078586F">
        <w:rPr>
          <w:sz w:val="28"/>
          <w:szCs w:val="28"/>
        </w:rPr>
        <w:t xml:space="preserve"> в бюджет сельского поселения</w:t>
      </w:r>
      <w:r w:rsidR="001D3843" w:rsidRPr="0078586F">
        <w:rPr>
          <w:b/>
          <w:bCs/>
          <w:sz w:val="28"/>
          <w:szCs w:val="28"/>
        </w:rPr>
        <w:t xml:space="preserve">  </w:t>
      </w:r>
      <w:r w:rsidR="001D3843" w:rsidRPr="0078586F">
        <w:rPr>
          <w:sz w:val="28"/>
          <w:szCs w:val="28"/>
        </w:rPr>
        <w:t xml:space="preserve">на  сумму </w:t>
      </w:r>
      <w:r w:rsidR="00674F96">
        <w:rPr>
          <w:sz w:val="28"/>
          <w:szCs w:val="28"/>
        </w:rPr>
        <w:t>168,8</w:t>
      </w:r>
      <w:r w:rsidR="001D3843" w:rsidRPr="0078586F">
        <w:rPr>
          <w:sz w:val="28"/>
          <w:szCs w:val="28"/>
        </w:rPr>
        <w:t xml:space="preserve"> тыс. руб. </w:t>
      </w:r>
    </w:p>
    <w:p w:rsidR="00C23034" w:rsidRPr="00C83AE7" w:rsidRDefault="00C23034" w:rsidP="00C23034">
      <w:pPr>
        <w:spacing w:line="276" w:lineRule="auto"/>
        <w:ind w:right="174" w:firstLine="900"/>
        <w:jc w:val="both"/>
        <w:rPr>
          <w:sz w:val="28"/>
          <w:szCs w:val="28"/>
        </w:rPr>
      </w:pPr>
      <w:r w:rsidRPr="00C83AE7">
        <w:rPr>
          <w:sz w:val="28"/>
          <w:szCs w:val="28"/>
        </w:rPr>
        <w:t xml:space="preserve">Объемы доходов проекта бюджета </w:t>
      </w:r>
      <w:proofErr w:type="spellStart"/>
      <w:r w:rsidR="000E3BB2">
        <w:rPr>
          <w:sz w:val="28"/>
          <w:szCs w:val="28"/>
        </w:rPr>
        <w:t>Верхнеошмин</w:t>
      </w:r>
      <w:r w:rsidR="000E3BB2" w:rsidRPr="000063A7">
        <w:rPr>
          <w:sz w:val="28"/>
          <w:szCs w:val="28"/>
        </w:rPr>
        <w:t>ского</w:t>
      </w:r>
      <w:proofErr w:type="spellEnd"/>
      <w:r w:rsidR="000E3BB2" w:rsidRPr="000063A7">
        <w:rPr>
          <w:sz w:val="28"/>
          <w:szCs w:val="28"/>
        </w:rPr>
        <w:t xml:space="preserve"> сельского поселения</w:t>
      </w:r>
      <w:r w:rsidR="000E3BB2" w:rsidRPr="00C83AE7">
        <w:rPr>
          <w:sz w:val="28"/>
          <w:szCs w:val="28"/>
        </w:rPr>
        <w:t xml:space="preserve"> </w:t>
      </w:r>
      <w:r w:rsidRPr="00C83AE7">
        <w:rPr>
          <w:sz w:val="28"/>
          <w:szCs w:val="28"/>
        </w:rPr>
        <w:t>на 2014 год отражено в следующей диаграмме:</w:t>
      </w:r>
    </w:p>
    <w:p w:rsidR="00C23034" w:rsidRPr="00C83AE7" w:rsidRDefault="00C23034" w:rsidP="005A12DA">
      <w:pPr>
        <w:ind w:firstLine="540"/>
        <w:jc w:val="right"/>
        <w:rPr>
          <w:sz w:val="26"/>
          <w:szCs w:val="26"/>
        </w:rPr>
      </w:pPr>
      <w:r w:rsidRPr="00C83AE7">
        <w:rPr>
          <w:sz w:val="28"/>
          <w:szCs w:val="28"/>
        </w:rPr>
        <w:t>диаграмма 1 (</w:t>
      </w:r>
      <w:r w:rsidR="005A12DA">
        <w:rPr>
          <w:sz w:val="28"/>
          <w:szCs w:val="28"/>
        </w:rPr>
        <w:t>тыс</w:t>
      </w:r>
      <w:r w:rsidRPr="00C83AE7">
        <w:rPr>
          <w:sz w:val="28"/>
          <w:szCs w:val="28"/>
        </w:rPr>
        <w:t>. руб.)</w:t>
      </w:r>
    </w:p>
    <w:p w:rsidR="00C23034" w:rsidRPr="006616E8" w:rsidRDefault="00C23034" w:rsidP="00C23034">
      <w:pPr>
        <w:jc w:val="both"/>
        <w:rPr>
          <w:color w:val="FF0000"/>
          <w:sz w:val="26"/>
          <w:szCs w:val="26"/>
        </w:rPr>
      </w:pPr>
      <w:r w:rsidRPr="006616E8">
        <w:rPr>
          <w:noProof/>
          <w:color w:val="FF0000"/>
          <w:sz w:val="26"/>
          <w:szCs w:val="26"/>
        </w:rPr>
        <w:drawing>
          <wp:inline distT="0" distB="0" distL="0" distR="0" wp14:anchorId="1A15EA4C" wp14:editId="55CA33E9">
            <wp:extent cx="6273800" cy="3670300"/>
            <wp:effectExtent l="0" t="0" r="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25E8" w:rsidRPr="0078586F" w:rsidRDefault="0078586F" w:rsidP="0078586F">
      <w:pPr>
        <w:spacing w:before="100" w:beforeAutospacing="1" w:after="100" w:afterAutospacing="1" w:line="276" w:lineRule="auto"/>
        <w:ind w:right="-1" w:firstLine="709"/>
        <w:jc w:val="both"/>
        <w:rPr>
          <w:sz w:val="28"/>
          <w:szCs w:val="28"/>
        </w:rPr>
      </w:pPr>
      <w:r>
        <w:rPr>
          <w:b/>
          <w:bCs/>
          <w:sz w:val="28"/>
          <w:szCs w:val="28"/>
        </w:rPr>
        <w:lastRenderedPageBreak/>
        <w:t>3</w:t>
      </w:r>
      <w:r w:rsidR="005425E8" w:rsidRPr="0078586F">
        <w:rPr>
          <w:b/>
          <w:bCs/>
          <w:sz w:val="28"/>
          <w:szCs w:val="28"/>
        </w:rPr>
        <w:t>.1</w:t>
      </w:r>
      <w:r w:rsidRPr="0078586F">
        <w:rPr>
          <w:b/>
          <w:bCs/>
          <w:sz w:val="28"/>
          <w:szCs w:val="28"/>
        </w:rPr>
        <w:t xml:space="preserve"> </w:t>
      </w:r>
      <w:r w:rsidR="005425E8" w:rsidRPr="0078586F">
        <w:rPr>
          <w:b/>
          <w:bCs/>
          <w:sz w:val="28"/>
          <w:szCs w:val="28"/>
        </w:rPr>
        <w:t>Налоговые доходы</w:t>
      </w:r>
    </w:p>
    <w:p w:rsidR="005425E8" w:rsidRPr="0078586F" w:rsidRDefault="005425E8" w:rsidP="0078586F">
      <w:pPr>
        <w:spacing w:before="100" w:beforeAutospacing="1" w:after="100" w:afterAutospacing="1" w:line="276" w:lineRule="auto"/>
        <w:ind w:right="-1" w:firstLine="709"/>
        <w:jc w:val="both"/>
        <w:rPr>
          <w:sz w:val="28"/>
          <w:szCs w:val="28"/>
        </w:rPr>
      </w:pPr>
      <w:r w:rsidRPr="0078586F">
        <w:rPr>
          <w:sz w:val="28"/>
          <w:szCs w:val="28"/>
        </w:rPr>
        <w:t xml:space="preserve">Планирование налоговых доходов бюджета сельского поселения на 2014 год осуществлялось на основании прогнозной информации, с использованием </w:t>
      </w:r>
      <w:proofErr w:type="gramStart"/>
      <w:r w:rsidRPr="0078586F">
        <w:rPr>
          <w:sz w:val="28"/>
          <w:szCs w:val="28"/>
        </w:rPr>
        <w:t>показателей кассового исполнения доходной части бюджета поселения</w:t>
      </w:r>
      <w:proofErr w:type="gramEnd"/>
      <w:r w:rsidRPr="0078586F">
        <w:rPr>
          <w:sz w:val="28"/>
          <w:szCs w:val="28"/>
        </w:rPr>
        <w:t xml:space="preserve"> за предыдущий отчетный период.</w:t>
      </w:r>
    </w:p>
    <w:p w:rsidR="005425E8" w:rsidRPr="0078586F" w:rsidRDefault="005425E8" w:rsidP="0078586F">
      <w:pPr>
        <w:spacing w:before="100" w:beforeAutospacing="1" w:after="100" w:afterAutospacing="1" w:line="276" w:lineRule="auto"/>
        <w:ind w:right="-1" w:firstLine="709"/>
        <w:jc w:val="both"/>
        <w:rPr>
          <w:sz w:val="28"/>
          <w:szCs w:val="28"/>
        </w:rPr>
      </w:pPr>
      <w:r w:rsidRPr="0078586F">
        <w:rPr>
          <w:sz w:val="28"/>
          <w:szCs w:val="28"/>
        </w:rPr>
        <w:t xml:space="preserve">Прогнозный объем налоговых </w:t>
      </w:r>
      <w:r w:rsidR="00D65E23">
        <w:rPr>
          <w:sz w:val="28"/>
          <w:szCs w:val="28"/>
        </w:rPr>
        <w:t xml:space="preserve">поступлений </w:t>
      </w:r>
      <w:r w:rsidRPr="0078586F">
        <w:rPr>
          <w:sz w:val="28"/>
          <w:szCs w:val="28"/>
        </w:rPr>
        <w:t xml:space="preserve">на 2014 год составляет </w:t>
      </w:r>
      <w:r w:rsidR="00D4045B">
        <w:rPr>
          <w:sz w:val="28"/>
          <w:szCs w:val="28"/>
        </w:rPr>
        <w:t>407</w:t>
      </w:r>
      <w:r w:rsidRPr="0078586F">
        <w:rPr>
          <w:sz w:val="28"/>
          <w:szCs w:val="28"/>
        </w:rPr>
        <w:t>,0 тыс.</w:t>
      </w:r>
      <w:r w:rsidR="002201E2">
        <w:rPr>
          <w:sz w:val="28"/>
          <w:szCs w:val="28"/>
        </w:rPr>
        <w:t xml:space="preserve"> </w:t>
      </w:r>
      <w:r w:rsidRPr="0078586F">
        <w:rPr>
          <w:sz w:val="28"/>
          <w:szCs w:val="28"/>
        </w:rPr>
        <w:t xml:space="preserve">рублей, на 2015 год - </w:t>
      </w:r>
      <w:r w:rsidR="00D4045B">
        <w:rPr>
          <w:sz w:val="28"/>
          <w:szCs w:val="28"/>
        </w:rPr>
        <w:t>416</w:t>
      </w:r>
      <w:r w:rsidRPr="0078586F">
        <w:rPr>
          <w:sz w:val="28"/>
          <w:szCs w:val="28"/>
        </w:rPr>
        <w:t>,0 тыс.</w:t>
      </w:r>
      <w:r w:rsidR="002201E2">
        <w:rPr>
          <w:sz w:val="28"/>
          <w:szCs w:val="28"/>
        </w:rPr>
        <w:t xml:space="preserve"> </w:t>
      </w:r>
      <w:r w:rsidRPr="0078586F">
        <w:rPr>
          <w:sz w:val="28"/>
          <w:szCs w:val="28"/>
        </w:rPr>
        <w:t>рублей, на 2016 год -</w:t>
      </w:r>
      <w:r w:rsidR="00D4045B">
        <w:rPr>
          <w:sz w:val="28"/>
          <w:szCs w:val="28"/>
        </w:rPr>
        <w:t xml:space="preserve"> 426</w:t>
      </w:r>
      <w:r w:rsidRPr="0078586F">
        <w:rPr>
          <w:sz w:val="28"/>
          <w:szCs w:val="28"/>
        </w:rPr>
        <w:t>,0 тыс.</w:t>
      </w:r>
      <w:r w:rsidR="002201E2">
        <w:rPr>
          <w:sz w:val="28"/>
          <w:szCs w:val="28"/>
        </w:rPr>
        <w:t xml:space="preserve"> </w:t>
      </w:r>
      <w:r w:rsidRPr="0078586F">
        <w:rPr>
          <w:sz w:val="28"/>
          <w:szCs w:val="28"/>
        </w:rPr>
        <w:t>рублей.</w:t>
      </w:r>
    </w:p>
    <w:p w:rsidR="005425E8" w:rsidRPr="0078586F" w:rsidRDefault="005425E8" w:rsidP="0078586F">
      <w:pPr>
        <w:spacing w:before="100" w:beforeAutospacing="1" w:after="100" w:afterAutospacing="1" w:line="276" w:lineRule="auto"/>
        <w:ind w:right="-1" w:firstLine="709"/>
        <w:jc w:val="both"/>
        <w:rPr>
          <w:sz w:val="28"/>
          <w:szCs w:val="28"/>
        </w:rPr>
      </w:pPr>
      <w:r w:rsidRPr="0078586F">
        <w:rPr>
          <w:sz w:val="28"/>
          <w:szCs w:val="28"/>
        </w:rPr>
        <w:t xml:space="preserve">Среди налоговых доходов наиболее объемным является земельный налог, составляющий </w:t>
      </w:r>
      <w:r w:rsidR="00D4045B">
        <w:rPr>
          <w:sz w:val="28"/>
          <w:szCs w:val="28"/>
        </w:rPr>
        <w:t>63,9</w:t>
      </w:r>
      <w:r w:rsidRPr="0078586F">
        <w:rPr>
          <w:sz w:val="28"/>
          <w:szCs w:val="28"/>
        </w:rPr>
        <w:t xml:space="preserve"> процента от общей суммы налоговых доходов. Поступления по налогу в 2014 году прогнозируются в размере  </w:t>
      </w:r>
      <w:r w:rsidR="00570DD7">
        <w:rPr>
          <w:sz w:val="28"/>
          <w:szCs w:val="28"/>
        </w:rPr>
        <w:t>2</w:t>
      </w:r>
      <w:r w:rsidR="00D4045B">
        <w:rPr>
          <w:sz w:val="28"/>
          <w:szCs w:val="28"/>
        </w:rPr>
        <w:t>6</w:t>
      </w:r>
      <w:r w:rsidR="00570DD7">
        <w:rPr>
          <w:sz w:val="28"/>
          <w:szCs w:val="28"/>
        </w:rPr>
        <w:t>0</w:t>
      </w:r>
      <w:r w:rsidRPr="0078586F">
        <w:rPr>
          <w:sz w:val="28"/>
          <w:szCs w:val="28"/>
        </w:rPr>
        <w:t xml:space="preserve">,0 тыс. рублей, в 2015 году -  </w:t>
      </w:r>
      <w:r w:rsidR="00570DD7">
        <w:rPr>
          <w:sz w:val="28"/>
          <w:szCs w:val="28"/>
        </w:rPr>
        <w:t>2</w:t>
      </w:r>
      <w:r w:rsidR="00D4045B">
        <w:rPr>
          <w:sz w:val="28"/>
          <w:szCs w:val="28"/>
        </w:rPr>
        <w:t>6</w:t>
      </w:r>
      <w:r w:rsidR="00570DD7">
        <w:rPr>
          <w:sz w:val="28"/>
          <w:szCs w:val="28"/>
        </w:rPr>
        <w:t>2</w:t>
      </w:r>
      <w:r w:rsidRPr="0078586F">
        <w:rPr>
          <w:sz w:val="28"/>
          <w:szCs w:val="28"/>
        </w:rPr>
        <w:t xml:space="preserve">,0 тыс. рублей, в 2016 году - </w:t>
      </w:r>
      <w:r w:rsidR="00570DD7">
        <w:rPr>
          <w:sz w:val="28"/>
          <w:szCs w:val="28"/>
        </w:rPr>
        <w:t>2</w:t>
      </w:r>
      <w:r w:rsidR="00D4045B">
        <w:rPr>
          <w:sz w:val="28"/>
          <w:szCs w:val="28"/>
        </w:rPr>
        <w:t>6</w:t>
      </w:r>
      <w:r w:rsidR="00570DD7">
        <w:rPr>
          <w:sz w:val="28"/>
          <w:szCs w:val="28"/>
        </w:rPr>
        <w:t>4</w:t>
      </w:r>
      <w:r w:rsidRPr="0078586F">
        <w:rPr>
          <w:sz w:val="28"/>
          <w:szCs w:val="28"/>
        </w:rPr>
        <w:t>,0 тыс. рублей.</w:t>
      </w:r>
    </w:p>
    <w:p w:rsidR="005425E8" w:rsidRPr="0078586F" w:rsidRDefault="005425E8" w:rsidP="0078586F">
      <w:pPr>
        <w:spacing w:before="100" w:beforeAutospacing="1" w:after="100" w:afterAutospacing="1" w:line="276" w:lineRule="auto"/>
        <w:ind w:right="-1" w:firstLine="709"/>
        <w:jc w:val="both"/>
        <w:rPr>
          <w:sz w:val="28"/>
          <w:szCs w:val="28"/>
        </w:rPr>
      </w:pPr>
      <w:r w:rsidRPr="0078586F">
        <w:rPr>
          <w:sz w:val="28"/>
          <w:szCs w:val="28"/>
        </w:rPr>
        <w:t>Поступление налога на доходы физических лиц в бюджет поселения  в 2014 году</w:t>
      </w:r>
      <w:r w:rsidR="00570DD7">
        <w:rPr>
          <w:sz w:val="28"/>
          <w:szCs w:val="28"/>
        </w:rPr>
        <w:t xml:space="preserve"> (</w:t>
      </w:r>
      <w:r w:rsidR="00D4045B">
        <w:rPr>
          <w:sz w:val="28"/>
          <w:szCs w:val="28"/>
        </w:rPr>
        <w:t>20,9</w:t>
      </w:r>
      <w:r w:rsidR="00570DD7" w:rsidRPr="0078586F">
        <w:rPr>
          <w:sz w:val="28"/>
          <w:szCs w:val="28"/>
        </w:rPr>
        <w:t xml:space="preserve"> </w:t>
      </w:r>
      <w:r w:rsidR="00570DD7">
        <w:rPr>
          <w:sz w:val="28"/>
          <w:szCs w:val="28"/>
        </w:rPr>
        <w:t>%</w:t>
      </w:r>
      <w:r w:rsidR="00570DD7" w:rsidRPr="0078586F">
        <w:rPr>
          <w:sz w:val="28"/>
          <w:szCs w:val="28"/>
        </w:rPr>
        <w:t xml:space="preserve"> </w:t>
      </w:r>
      <w:r w:rsidR="00570DD7">
        <w:rPr>
          <w:sz w:val="28"/>
          <w:szCs w:val="28"/>
        </w:rPr>
        <w:t>от общей суммы налоговых доходов)</w:t>
      </w:r>
      <w:r w:rsidRPr="0078586F">
        <w:rPr>
          <w:sz w:val="28"/>
          <w:szCs w:val="28"/>
        </w:rPr>
        <w:t xml:space="preserve"> прогнозируется в сумме </w:t>
      </w:r>
      <w:r w:rsidR="00D4045B">
        <w:rPr>
          <w:sz w:val="28"/>
          <w:szCs w:val="28"/>
        </w:rPr>
        <w:t>8</w:t>
      </w:r>
      <w:r w:rsidR="00570DD7">
        <w:rPr>
          <w:sz w:val="28"/>
          <w:szCs w:val="28"/>
        </w:rPr>
        <w:t>5</w:t>
      </w:r>
      <w:r w:rsidRPr="0078586F">
        <w:rPr>
          <w:sz w:val="28"/>
          <w:szCs w:val="28"/>
        </w:rPr>
        <w:t xml:space="preserve">,0 тыс. рублей, в 2015 году - </w:t>
      </w:r>
      <w:r w:rsidR="00D4045B">
        <w:rPr>
          <w:sz w:val="28"/>
          <w:szCs w:val="28"/>
        </w:rPr>
        <w:t>89</w:t>
      </w:r>
      <w:r w:rsidRPr="0078586F">
        <w:rPr>
          <w:sz w:val="28"/>
          <w:szCs w:val="28"/>
        </w:rPr>
        <w:t xml:space="preserve">,0 тыс. рублей, в 2016 году - </w:t>
      </w:r>
      <w:r w:rsidR="00D4045B">
        <w:rPr>
          <w:sz w:val="28"/>
          <w:szCs w:val="28"/>
        </w:rPr>
        <w:t>94</w:t>
      </w:r>
      <w:r w:rsidRPr="0078586F">
        <w:rPr>
          <w:sz w:val="28"/>
          <w:szCs w:val="28"/>
        </w:rPr>
        <w:t>,0 тыс. рублей.</w:t>
      </w:r>
    </w:p>
    <w:p w:rsidR="00570DD7" w:rsidRPr="0078586F" w:rsidRDefault="000A6C9E" w:rsidP="00570DD7">
      <w:pPr>
        <w:spacing w:before="100" w:beforeAutospacing="1" w:after="100" w:afterAutospacing="1" w:line="276" w:lineRule="auto"/>
        <w:ind w:right="-1" w:firstLine="709"/>
        <w:jc w:val="both"/>
        <w:rPr>
          <w:sz w:val="28"/>
          <w:szCs w:val="28"/>
        </w:rPr>
      </w:pPr>
      <w:r>
        <w:rPr>
          <w:sz w:val="28"/>
          <w:szCs w:val="28"/>
        </w:rPr>
        <w:t xml:space="preserve">Поступления по налогу на имущество физических лиц в бюджет поселения в 2014 году прогнозируются </w:t>
      </w:r>
      <w:r w:rsidR="005425E8" w:rsidRPr="0078586F">
        <w:rPr>
          <w:sz w:val="28"/>
          <w:szCs w:val="28"/>
        </w:rPr>
        <w:t xml:space="preserve">в сумме </w:t>
      </w:r>
      <w:r w:rsidR="00D4045B">
        <w:rPr>
          <w:sz w:val="28"/>
          <w:szCs w:val="28"/>
        </w:rPr>
        <w:t>54</w:t>
      </w:r>
      <w:r w:rsidR="005425E8" w:rsidRPr="0078586F">
        <w:rPr>
          <w:sz w:val="28"/>
          <w:szCs w:val="28"/>
        </w:rPr>
        <w:t xml:space="preserve">,0 тыс. рублей, </w:t>
      </w:r>
      <w:r w:rsidR="00570DD7" w:rsidRPr="0078586F">
        <w:rPr>
          <w:sz w:val="28"/>
          <w:szCs w:val="28"/>
        </w:rPr>
        <w:t xml:space="preserve">в 2015 году - </w:t>
      </w:r>
      <w:r w:rsidR="00D4045B">
        <w:rPr>
          <w:sz w:val="28"/>
          <w:szCs w:val="28"/>
        </w:rPr>
        <w:t>57</w:t>
      </w:r>
      <w:r w:rsidR="00570DD7" w:rsidRPr="0078586F">
        <w:rPr>
          <w:sz w:val="28"/>
          <w:szCs w:val="28"/>
        </w:rPr>
        <w:t xml:space="preserve">,0 тыс. рублей, в 2016 году - </w:t>
      </w:r>
      <w:r w:rsidR="00D4045B">
        <w:rPr>
          <w:sz w:val="28"/>
          <w:szCs w:val="28"/>
        </w:rPr>
        <w:t>60</w:t>
      </w:r>
      <w:r w:rsidR="00570DD7" w:rsidRPr="0078586F">
        <w:rPr>
          <w:sz w:val="28"/>
          <w:szCs w:val="28"/>
        </w:rPr>
        <w:t>,0 тыс. рублей.</w:t>
      </w:r>
    </w:p>
    <w:p w:rsidR="005425E8" w:rsidRPr="0078586F" w:rsidRDefault="005425E8" w:rsidP="0078586F">
      <w:pPr>
        <w:spacing w:before="100" w:beforeAutospacing="1" w:after="100" w:afterAutospacing="1" w:line="276" w:lineRule="auto"/>
        <w:ind w:right="-1" w:firstLine="709"/>
        <w:jc w:val="both"/>
        <w:rPr>
          <w:sz w:val="28"/>
          <w:szCs w:val="28"/>
        </w:rPr>
      </w:pPr>
      <w:r w:rsidRPr="0078586F">
        <w:rPr>
          <w:sz w:val="28"/>
          <w:szCs w:val="28"/>
        </w:rPr>
        <w:t xml:space="preserve">Госпошлина прогнозируется в 2014-2016 годах в сумме по </w:t>
      </w:r>
      <w:r w:rsidR="00D4045B">
        <w:rPr>
          <w:sz w:val="28"/>
          <w:szCs w:val="28"/>
        </w:rPr>
        <w:t>8</w:t>
      </w:r>
      <w:r w:rsidRPr="0078586F">
        <w:rPr>
          <w:sz w:val="28"/>
          <w:szCs w:val="28"/>
        </w:rPr>
        <w:t>,0 тыс. рублей ежегодно.</w:t>
      </w:r>
    </w:p>
    <w:p w:rsidR="005425E8" w:rsidRPr="0078586F" w:rsidRDefault="0078586F" w:rsidP="0078586F">
      <w:pPr>
        <w:spacing w:before="100" w:beforeAutospacing="1" w:after="100" w:afterAutospacing="1" w:line="276" w:lineRule="auto"/>
        <w:ind w:right="-1" w:firstLine="709"/>
        <w:jc w:val="both"/>
        <w:rPr>
          <w:sz w:val="28"/>
          <w:szCs w:val="28"/>
        </w:rPr>
      </w:pPr>
      <w:r w:rsidRPr="0078586F">
        <w:rPr>
          <w:b/>
          <w:bCs/>
          <w:sz w:val="28"/>
          <w:szCs w:val="28"/>
        </w:rPr>
        <w:t>3</w:t>
      </w:r>
      <w:r w:rsidR="005425E8" w:rsidRPr="0078586F">
        <w:rPr>
          <w:b/>
          <w:bCs/>
          <w:sz w:val="28"/>
          <w:szCs w:val="28"/>
        </w:rPr>
        <w:t>.2 Неналоговые доходы</w:t>
      </w:r>
    </w:p>
    <w:p w:rsidR="00D4045B" w:rsidRPr="0078586F" w:rsidRDefault="005425E8" w:rsidP="00D4045B">
      <w:pPr>
        <w:spacing w:before="100" w:beforeAutospacing="1" w:after="100" w:afterAutospacing="1" w:line="276" w:lineRule="auto"/>
        <w:ind w:right="-1" w:firstLine="709"/>
        <w:jc w:val="both"/>
        <w:rPr>
          <w:sz w:val="28"/>
          <w:szCs w:val="28"/>
        </w:rPr>
      </w:pPr>
      <w:r w:rsidRPr="0078586F">
        <w:rPr>
          <w:sz w:val="28"/>
          <w:szCs w:val="28"/>
        </w:rPr>
        <w:t xml:space="preserve">Поступления по неналоговым доходам </w:t>
      </w:r>
      <w:r w:rsidR="00570DD7">
        <w:rPr>
          <w:sz w:val="28"/>
          <w:szCs w:val="28"/>
        </w:rPr>
        <w:t xml:space="preserve">на </w:t>
      </w:r>
      <w:r w:rsidR="00570DD7" w:rsidRPr="0078586F">
        <w:rPr>
          <w:sz w:val="28"/>
          <w:szCs w:val="28"/>
        </w:rPr>
        <w:t>2014 год составля</w:t>
      </w:r>
      <w:r w:rsidR="000A6C9E">
        <w:rPr>
          <w:sz w:val="28"/>
          <w:szCs w:val="28"/>
        </w:rPr>
        <w:t>ю</w:t>
      </w:r>
      <w:r w:rsidR="00570DD7" w:rsidRPr="0078586F">
        <w:rPr>
          <w:sz w:val="28"/>
          <w:szCs w:val="28"/>
        </w:rPr>
        <w:t xml:space="preserve">т </w:t>
      </w:r>
      <w:r w:rsidR="00D4045B">
        <w:rPr>
          <w:sz w:val="28"/>
          <w:szCs w:val="28"/>
        </w:rPr>
        <w:t>88</w:t>
      </w:r>
      <w:r w:rsidR="00570DD7" w:rsidRPr="0078586F">
        <w:rPr>
          <w:sz w:val="28"/>
          <w:szCs w:val="28"/>
        </w:rPr>
        <w:t>,0 тыс.</w:t>
      </w:r>
      <w:r w:rsidR="00570DD7">
        <w:rPr>
          <w:sz w:val="28"/>
          <w:szCs w:val="28"/>
        </w:rPr>
        <w:t xml:space="preserve"> </w:t>
      </w:r>
      <w:r w:rsidR="00D4045B" w:rsidRPr="0078586F">
        <w:rPr>
          <w:sz w:val="28"/>
          <w:szCs w:val="28"/>
        </w:rPr>
        <w:t xml:space="preserve">рублей, в 2015 году - </w:t>
      </w:r>
      <w:r w:rsidR="00D4045B">
        <w:rPr>
          <w:sz w:val="28"/>
          <w:szCs w:val="28"/>
        </w:rPr>
        <w:t>91</w:t>
      </w:r>
      <w:r w:rsidR="00D4045B" w:rsidRPr="0078586F">
        <w:rPr>
          <w:sz w:val="28"/>
          <w:szCs w:val="28"/>
        </w:rPr>
        <w:t xml:space="preserve">,0 тыс. рублей, в 2016 году - </w:t>
      </w:r>
      <w:r w:rsidR="00D4045B">
        <w:rPr>
          <w:sz w:val="28"/>
          <w:szCs w:val="28"/>
        </w:rPr>
        <w:t>93</w:t>
      </w:r>
      <w:r w:rsidR="00D4045B" w:rsidRPr="0078586F">
        <w:rPr>
          <w:sz w:val="28"/>
          <w:szCs w:val="28"/>
        </w:rPr>
        <w:t>,0 тыс. рублей.</w:t>
      </w:r>
    </w:p>
    <w:p w:rsidR="00D4045B" w:rsidRDefault="00570DD7" w:rsidP="0041742D">
      <w:pPr>
        <w:spacing w:line="276" w:lineRule="auto"/>
        <w:ind w:firstLine="900"/>
        <w:jc w:val="both"/>
        <w:rPr>
          <w:sz w:val="28"/>
          <w:szCs w:val="28"/>
        </w:rPr>
      </w:pPr>
      <w:r w:rsidRPr="00335638">
        <w:rPr>
          <w:sz w:val="28"/>
          <w:szCs w:val="28"/>
        </w:rPr>
        <w:t xml:space="preserve">В структуре неналоговых доходов </w:t>
      </w:r>
      <w:r>
        <w:rPr>
          <w:sz w:val="28"/>
          <w:szCs w:val="28"/>
        </w:rPr>
        <w:t xml:space="preserve">на 2014 год </w:t>
      </w:r>
      <w:r w:rsidRPr="00335638">
        <w:rPr>
          <w:sz w:val="28"/>
          <w:szCs w:val="28"/>
        </w:rPr>
        <w:t>наибольший объем занима</w:t>
      </w:r>
      <w:r w:rsidR="0041742D">
        <w:rPr>
          <w:sz w:val="28"/>
          <w:szCs w:val="28"/>
        </w:rPr>
        <w:t>е</w:t>
      </w:r>
      <w:r w:rsidRPr="00335638">
        <w:rPr>
          <w:sz w:val="28"/>
          <w:szCs w:val="28"/>
        </w:rPr>
        <w:t>т</w:t>
      </w:r>
      <w:r w:rsidR="00D4045B">
        <w:rPr>
          <w:sz w:val="28"/>
          <w:szCs w:val="28"/>
        </w:rPr>
        <w:t>:</w:t>
      </w:r>
    </w:p>
    <w:p w:rsidR="000B4EA9" w:rsidRDefault="000B4EA9" w:rsidP="0041742D">
      <w:pPr>
        <w:spacing w:line="276" w:lineRule="auto"/>
        <w:ind w:firstLine="900"/>
        <w:jc w:val="both"/>
        <w:rPr>
          <w:sz w:val="28"/>
          <w:szCs w:val="28"/>
        </w:rPr>
      </w:pPr>
      <w:r>
        <w:rPr>
          <w:sz w:val="28"/>
          <w:szCs w:val="28"/>
        </w:rPr>
        <w:t>-</w:t>
      </w:r>
      <w:r w:rsidRPr="00335638">
        <w:rPr>
          <w:sz w:val="28"/>
          <w:szCs w:val="28"/>
        </w:rPr>
        <w:t xml:space="preserve"> </w:t>
      </w:r>
      <w:r w:rsidRPr="00AC1E8E">
        <w:rPr>
          <w:sz w:val="28"/>
          <w:szCs w:val="28"/>
        </w:rPr>
        <w:t xml:space="preserve">доходы от использования имущества, находящегося в государственной и муниципальной собственности– </w:t>
      </w:r>
      <w:r>
        <w:rPr>
          <w:sz w:val="28"/>
          <w:szCs w:val="28"/>
        </w:rPr>
        <w:t>23</w:t>
      </w:r>
      <w:r w:rsidRPr="00AC1E8E">
        <w:rPr>
          <w:sz w:val="28"/>
          <w:szCs w:val="28"/>
        </w:rPr>
        <w:t xml:space="preserve">,0 тыс. рублей или </w:t>
      </w:r>
      <w:r>
        <w:rPr>
          <w:sz w:val="28"/>
          <w:szCs w:val="28"/>
        </w:rPr>
        <w:t>4,6</w:t>
      </w:r>
      <w:r w:rsidRPr="00AC1E8E">
        <w:rPr>
          <w:sz w:val="28"/>
          <w:szCs w:val="28"/>
        </w:rPr>
        <w:t xml:space="preserve"> % от собственных доходов бюджета</w:t>
      </w:r>
      <w:r>
        <w:rPr>
          <w:sz w:val="28"/>
          <w:szCs w:val="28"/>
        </w:rPr>
        <w:t xml:space="preserve">; </w:t>
      </w:r>
    </w:p>
    <w:p w:rsidR="000B4EA9" w:rsidRDefault="000B4EA9" w:rsidP="0041742D">
      <w:pPr>
        <w:spacing w:line="276" w:lineRule="auto"/>
        <w:ind w:firstLine="900"/>
        <w:jc w:val="both"/>
        <w:rPr>
          <w:sz w:val="28"/>
          <w:szCs w:val="28"/>
        </w:rPr>
      </w:pPr>
      <w:r>
        <w:rPr>
          <w:sz w:val="28"/>
          <w:szCs w:val="28"/>
        </w:rPr>
        <w:t>-</w:t>
      </w:r>
      <w:r w:rsidRPr="00DD41D9">
        <w:rPr>
          <w:sz w:val="28"/>
          <w:szCs w:val="28"/>
        </w:rPr>
        <w:t xml:space="preserve"> </w:t>
      </w:r>
      <w:r w:rsidRPr="00833EE6">
        <w:rPr>
          <w:sz w:val="28"/>
          <w:szCs w:val="28"/>
        </w:rPr>
        <w:t xml:space="preserve">доходы, поступающие в порядке возмещения расходов, понесенных в связи с эксплуатацией имущества поселений – </w:t>
      </w:r>
      <w:r>
        <w:rPr>
          <w:sz w:val="28"/>
          <w:szCs w:val="28"/>
        </w:rPr>
        <w:t>3</w:t>
      </w:r>
      <w:r w:rsidRPr="00833EE6">
        <w:rPr>
          <w:sz w:val="28"/>
          <w:szCs w:val="28"/>
        </w:rPr>
        <w:t xml:space="preserve">0,0 тыс. рублей или </w:t>
      </w:r>
      <w:r>
        <w:rPr>
          <w:sz w:val="28"/>
          <w:szCs w:val="28"/>
        </w:rPr>
        <w:t>6,1</w:t>
      </w:r>
      <w:r w:rsidRPr="00833EE6">
        <w:rPr>
          <w:sz w:val="28"/>
          <w:szCs w:val="28"/>
        </w:rPr>
        <w:t xml:space="preserve"> % от собственных доходов бюджета</w:t>
      </w:r>
      <w:r>
        <w:rPr>
          <w:sz w:val="28"/>
          <w:szCs w:val="28"/>
        </w:rPr>
        <w:t xml:space="preserve">; </w:t>
      </w:r>
    </w:p>
    <w:p w:rsidR="00570DD7" w:rsidRPr="00335638" w:rsidRDefault="00D4045B" w:rsidP="0041742D">
      <w:pPr>
        <w:spacing w:line="276" w:lineRule="auto"/>
        <w:ind w:firstLine="900"/>
        <w:jc w:val="both"/>
        <w:rPr>
          <w:sz w:val="28"/>
          <w:szCs w:val="28"/>
        </w:rPr>
      </w:pPr>
      <w:r>
        <w:rPr>
          <w:sz w:val="28"/>
          <w:szCs w:val="28"/>
        </w:rPr>
        <w:lastRenderedPageBreak/>
        <w:t>-</w:t>
      </w:r>
      <w:r w:rsidR="00570DD7" w:rsidRPr="00335638">
        <w:rPr>
          <w:sz w:val="28"/>
          <w:szCs w:val="28"/>
        </w:rPr>
        <w:t xml:space="preserve"> доходы от продажи материальных и нематериальных активов – </w:t>
      </w:r>
      <w:r w:rsidR="00570DD7">
        <w:rPr>
          <w:sz w:val="28"/>
          <w:szCs w:val="28"/>
        </w:rPr>
        <w:t>3</w:t>
      </w:r>
      <w:r w:rsidR="000B4EA9">
        <w:rPr>
          <w:sz w:val="28"/>
          <w:szCs w:val="28"/>
        </w:rPr>
        <w:t>5</w:t>
      </w:r>
      <w:r w:rsidR="00570DD7">
        <w:rPr>
          <w:sz w:val="28"/>
          <w:szCs w:val="28"/>
        </w:rPr>
        <w:t>,0</w:t>
      </w:r>
      <w:r w:rsidR="00570DD7" w:rsidRPr="00335638">
        <w:rPr>
          <w:sz w:val="28"/>
          <w:szCs w:val="28"/>
        </w:rPr>
        <w:t xml:space="preserve"> тыс. рублей или </w:t>
      </w:r>
      <w:r w:rsidR="000B4EA9">
        <w:rPr>
          <w:sz w:val="28"/>
          <w:szCs w:val="28"/>
        </w:rPr>
        <w:t>7,1</w:t>
      </w:r>
      <w:r w:rsidR="00570DD7" w:rsidRPr="00335638">
        <w:rPr>
          <w:sz w:val="28"/>
          <w:szCs w:val="28"/>
        </w:rPr>
        <w:t xml:space="preserve"> % от </w:t>
      </w:r>
      <w:r w:rsidR="0041742D">
        <w:rPr>
          <w:sz w:val="28"/>
          <w:szCs w:val="28"/>
        </w:rPr>
        <w:t xml:space="preserve">собственных </w:t>
      </w:r>
      <w:r w:rsidR="00570DD7" w:rsidRPr="00335638">
        <w:rPr>
          <w:sz w:val="28"/>
          <w:szCs w:val="28"/>
        </w:rPr>
        <w:t>доходов бюджета.</w:t>
      </w:r>
    </w:p>
    <w:p w:rsidR="005425E8" w:rsidRPr="0078586F" w:rsidRDefault="0078586F" w:rsidP="0041742D">
      <w:pPr>
        <w:spacing w:before="100" w:beforeAutospacing="1" w:after="100" w:afterAutospacing="1" w:line="276" w:lineRule="auto"/>
        <w:ind w:right="-1" w:firstLine="709"/>
        <w:jc w:val="both"/>
        <w:rPr>
          <w:sz w:val="28"/>
          <w:szCs w:val="28"/>
        </w:rPr>
      </w:pPr>
      <w:r w:rsidRPr="0078586F">
        <w:rPr>
          <w:b/>
          <w:bCs/>
          <w:sz w:val="28"/>
          <w:szCs w:val="28"/>
        </w:rPr>
        <w:t>3</w:t>
      </w:r>
      <w:r w:rsidR="005425E8" w:rsidRPr="0078586F">
        <w:rPr>
          <w:b/>
          <w:bCs/>
          <w:sz w:val="28"/>
          <w:szCs w:val="28"/>
        </w:rPr>
        <w:t>.3 Безвозмездные поступления</w:t>
      </w:r>
    </w:p>
    <w:p w:rsidR="005425E8" w:rsidRPr="0078586F" w:rsidRDefault="005425E8" w:rsidP="0041742D">
      <w:pPr>
        <w:spacing w:before="100" w:beforeAutospacing="1" w:after="100" w:afterAutospacing="1" w:line="276" w:lineRule="auto"/>
        <w:ind w:right="-1" w:firstLine="709"/>
        <w:jc w:val="both"/>
        <w:rPr>
          <w:sz w:val="28"/>
          <w:szCs w:val="28"/>
        </w:rPr>
      </w:pPr>
      <w:r w:rsidRPr="0078586F">
        <w:rPr>
          <w:sz w:val="28"/>
          <w:szCs w:val="28"/>
        </w:rPr>
        <w:t xml:space="preserve">Объемы межбюджетных трансфертов бюджету поселения из бюджета </w:t>
      </w:r>
      <w:r w:rsidR="000063A7">
        <w:rPr>
          <w:sz w:val="28"/>
          <w:szCs w:val="28"/>
        </w:rPr>
        <w:t>Мамадыш</w:t>
      </w:r>
      <w:r w:rsidRPr="0078586F">
        <w:rPr>
          <w:sz w:val="28"/>
          <w:szCs w:val="28"/>
        </w:rPr>
        <w:t xml:space="preserve">ского муниципального района составят  на 2014 год в сумме </w:t>
      </w:r>
      <w:r w:rsidR="0041742D">
        <w:rPr>
          <w:sz w:val="28"/>
          <w:szCs w:val="28"/>
        </w:rPr>
        <w:t>15</w:t>
      </w:r>
      <w:r w:rsidR="000B4EA9">
        <w:rPr>
          <w:sz w:val="28"/>
          <w:szCs w:val="28"/>
        </w:rPr>
        <w:t>73,4</w:t>
      </w:r>
      <w:r w:rsidRPr="0078586F">
        <w:rPr>
          <w:sz w:val="28"/>
          <w:szCs w:val="28"/>
        </w:rPr>
        <w:t xml:space="preserve"> тыс. рублей</w:t>
      </w:r>
      <w:r w:rsidR="0041742D">
        <w:rPr>
          <w:sz w:val="28"/>
          <w:szCs w:val="28"/>
        </w:rPr>
        <w:t>,</w:t>
      </w:r>
      <w:r w:rsidRPr="0078586F">
        <w:rPr>
          <w:sz w:val="28"/>
          <w:szCs w:val="28"/>
        </w:rPr>
        <w:t xml:space="preserve"> на 2015 и 2016 годы в сумме </w:t>
      </w:r>
      <w:r w:rsidR="000B4EA9">
        <w:rPr>
          <w:sz w:val="28"/>
          <w:szCs w:val="28"/>
        </w:rPr>
        <w:t>1503,5</w:t>
      </w:r>
      <w:r w:rsidR="0041742D">
        <w:rPr>
          <w:sz w:val="28"/>
          <w:szCs w:val="28"/>
        </w:rPr>
        <w:t xml:space="preserve"> </w:t>
      </w:r>
      <w:r w:rsidRPr="0078586F">
        <w:rPr>
          <w:sz w:val="28"/>
          <w:szCs w:val="28"/>
        </w:rPr>
        <w:t xml:space="preserve">тыс. рублей и </w:t>
      </w:r>
      <w:r w:rsidR="000B4EA9">
        <w:rPr>
          <w:sz w:val="28"/>
          <w:szCs w:val="28"/>
        </w:rPr>
        <w:t>1537,2</w:t>
      </w:r>
      <w:r w:rsidRPr="0078586F">
        <w:rPr>
          <w:sz w:val="28"/>
          <w:szCs w:val="28"/>
        </w:rPr>
        <w:t xml:space="preserve"> тыс. рублей соответственно</w:t>
      </w:r>
      <w:r w:rsidR="0041742D">
        <w:rPr>
          <w:sz w:val="28"/>
          <w:szCs w:val="28"/>
        </w:rPr>
        <w:t xml:space="preserve">. </w:t>
      </w:r>
    </w:p>
    <w:p w:rsidR="0041742D" w:rsidRPr="002B500B" w:rsidRDefault="0041742D" w:rsidP="0041742D">
      <w:pPr>
        <w:spacing w:line="276" w:lineRule="auto"/>
        <w:ind w:firstLine="567"/>
        <w:jc w:val="both"/>
        <w:rPr>
          <w:sz w:val="28"/>
          <w:szCs w:val="28"/>
        </w:rPr>
      </w:pPr>
      <w:r w:rsidRPr="002B500B">
        <w:rPr>
          <w:sz w:val="28"/>
          <w:szCs w:val="28"/>
        </w:rPr>
        <w:t xml:space="preserve">Структура расходной части </w:t>
      </w:r>
      <w:r w:rsidRPr="0078586F">
        <w:rPr>
          <w:sz w:val="28"/>
          <w:szCs w:val="28"/>
        </w:rPr>
        <w:t xml:space="preserve">межбюджетных трансфертов </w:t>
      </w:r>
      <w:r w:rsidRPr="002B500B">
        <w:rPr>
          <w:sz w:val="28"/>
          <w:szCs w:val="28"/>
        </w:rPr>
        <w:t xml:space="preserve">бюджета </w:t>
      </w:r>
      <w:proofErr w:type="spellStart"/>
      <w:r w:rsidR="000E3BB2">
        <w:rPr>
          <w:sz w:val="28"/>
          <w:szCs w:val="28"/>
        </w:rPr>
        <w:t>Верхнеошмин</w:t>
      </w:r>
      <w:r w:rsidR="000E3BB2" w:rsidRPr="000063A7">
        <w:rPr>
          <w:sz w:val="28"/>
          <w:szCs w:val="28"/>
        </w:rPr>
        <w:t>ского</w:t>
      </w:r>
      <w:proofErr w:type="spellEnd"/>
      <w:r w:rsidR="000E3BB2" w:rsidRPr="000063A7">
        <w:rPr>
          <w:sz w:val="28"/>
          <w:szCs w:val="28"/>
        </w:rPr>
        <w:t xml:space="preserve"> сельского поселения</w:t>
      </w:r>
      <w:r w:rsidR="000E3BB2" w:rsidRPr="002B500B">
        <w:rPr>
          <w:sz w:val="28"/>
          <w:szCs w:val="28"/>
        </w:rPr>
        <w:t xml:space="preserve"> </w:t>
      </w:r>
      <w:r w:rsidRPr="002B500B">
        <w:rPr>
          <w:sz w:val="28"/>
          <w:szCs w:val="28"/>
        </w:rPr>
        <w:t xml:space="preserve">представлена в таблице </w:t>
      </w:r>
      <w:r>
        <w:rPr>
          <w:sz w:val="28"/>
          <w:szCs w:val="28"/>
        </w:rPr>
        <w:t>4</w:t>
      </w:r>
      <w:r w:rsidRPr="002B500B">
        <w:rPr>
          <w:sz w:val="28"/>
          <w:szCs w:val="28"/>
        </w:rPr>
        <w:t>.</w:t>
      </w:r>
    </w:p>
    <w:p w:rsidR="0041742D" w:rsidRPr="002B500B" w:rsidRDefault="0041742D" w:rsidP="0041742D">
      <w:pPr>
        <w:spacing w:line="360" w:lineRule="auto"/>
        <w:ind w:firstLine="567"/>
        <w:jc w:val="right"/>
        <w:rPr>
          <w:i/>
          <w:sz w:val="28"/>
          <w:szCs w:val="28"/>
        </w:rPr>
      </w:pPr>
      <w:r w:rsidRPr="002B500B">
        <w:rPr>
          <w:i/>
          <w:sz w:val="28"/>
          <w:szCs w:val="28"/>
        </w:rPr>
        <w:t xml:space="preserve">Таблица </w:t>
      </w:r>
      <w:r>
        <w:rPr>
          <w:i/>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1581"/>
        <w:gridCol w:w="1559"/>
        <w:gridCol w:w="1525"/>
      </w:tblGrid>
      <w:tr w:rsidR="0041742D" w:rsidRPr="002B500B" w:rsidTr="0041742D">
        <w:tc>
          <w:tcPr>
            <w:tcW w:w="4906" w:type="dxa"/>
            <w:vMerge w:val="restart"/>
            <w:shd w:val="clear" w:color="auto" w:fill="auto"/>
          </w:tcPr>
          <w:p w:rsidR="0041742D" w:rsidRPr="002B500B" w:rsidRDefault="0041742D" w:rsidP="00DA46B7">
            <w:pPr>
              <w:spacing w:line="360" w:lineRule="auto"/>
              <w:jc w:val="center"/>
              <w:rPr>
                <w:sz w:val="28"/>
                <w:szCs w:val="28"/>
              </w:rPr>
            </w:pPr>
            <w:r w:rsidRPr="002B500B">
              <w:rPr>
                <w:sz w:val="28"/>
                <w:szCs w:val="28"/>
              </w:rPr>
              <w:t>Наименование расходов</w:t>
            </w:r>
          </w:p>
        </w:tc>
        <w:tc>
          <w:tcPr>
            <w:tcW w:w="4665" w:type="dxa"/>
            <w:gridSpan w:val="3"/>
            <w:shd w:val="clear" w:color="auto" w:fill="auto"/>
          </w:tcPr>
          <w:p w:rsidR="0041742D" w:rsidRPr="002B500B" w:rsidRDefault="0041742D" w:rsidP="00DA46B7">
            <w:pPr>
              <w:spacing w:line="360" w:lineRule="auto"/>
              <w:jc w:val="center"/>
              <w:rPr>
                <w:sz w:val="28"/>
                <w:szCs w:val="28"/>
              </w:rPr>
            </w:pPr>
            <w:r w:rsidRPr="002B500B">
              <w:rPr>
                <w:sz w:val="28"/>
                <w:szCs w:val="28"/>
              </w:rPr>
              <w:t>Сумма (тыс. рублей)</w:t>
            </w:r>
          </w:p>
        </w:tc>
      </w:tr>
      <w:tr w:rsidR="0041742D" w:rsidRPr="002B500B" w:rsidTr="0041742D">
        <w:tc>
          <w:tcPr>
            <w:tcW w:w="4906" w:type="dxa"/>
            <w:vMerge/>
            <w:shd w:val="clear" w:color="auto" w:fill="auto"/>
          </w:tcPr>
          <w:p w:rsidR="0041742D" w:rsidRPr="002B500B" w:rsidRDefault="0041742D" w:rsidP="00DA46B7">
            <w:pPr>
              <w:spacing w:line="360" w:lineRule="auto"/>
              <w:jc w:val="right"/>
              <w:rPr>
                <w:sz w:val="26"/>
                <w:szCs w:val="26"/>
              </w:rPr>
            </w:pPr>
          </w:p>
        </w:tc>
        <w:tc>
          <w:tcPr>
            <w:tcW w:w="1581" w:type="dxa"/>
            <w:shd w:val="clear" w:color="auto" w:fill="auto"/>
          </w:tcPr>
          <w:p w:rsidR="0041742D" w:rsidRPr="0041742D" w:rsidRDefault="0041742D" w:rsidP="00DA46B7">
            <w:pPr>
              <w:spacing w:line="360" w:lineRule="auto"/>
              <w:jc w:val="center"/>
              <w:rPr>
                <w:sz w:val="28"/>
                <w:szCs w:val="28"/>
              </w:rPr>
            </w:pPr>
            <w:r w:rsidRPr="0041742D">
              <w:rPr>
                <w:sz w:val="28"/>
                <w:szCs w:val="28"/>
              </w:rPr>
              <w:t>2014 г.</w:t>
            </w:r>
          </w:p>
        </w:tc>
        <w:tc>
          <w:tcPr>
            <w:tcW w:w="1559" w:type="dxa"/>
            <w:shd w:val="clear" w:color="auto" w:fill="auto"/>
          </w:tcPr>
          <w:p w:rsidR="0041742D" w:rsidRPr="0041742D" w:rsidRDefault="0041742D" w:rsidP="00DA46B7">
            <w:pPr>
              <w:spacing w:line="360" w:lineRule="auto"/>
              <w:jc w:val="center"/>
              <w:rPr>
                <w:sz w:val="28"/>
                <w:szCs w:val="28"/>
              </w:rPr>
            </w:pPr>
            <w:r w:rsidRPr="0041742D">
              <w:rPr>
                <w:sz w:val="28"/>
                <w:szCs w:val="28"/>
              </w:rPr>
              <w:t>2015 г.</w:t>
            </w:r>
          </w:p>
        </w:tc>
        <w:tc>
          <w:tcPr>
            <w:tcW w:w="1525" w:type="dxa"/>
            <w:shd w:val="clear" w:color="auto" w:fill="auto"/>
          </w:tcPr>
          <w:p w:rsidR="0041742D" w:rsidRPr="0041742D" w:rsidRDefault="0041742D" w:rsidP="00DA46B7">
            <w:pPr>
              <w:spacing w:line="360" w:lineRule="auto"/>
              <w:jc w:val="center"/>
              <w:rPr>
                <w:sz w:val="28"/>
                <w:szCs w:val="28"/>
              </w:rPr>
            </w:pPr>
            <w:r w:rsidRPr="0041742D">
              <w:rPr>
                <w:sz w:val="28"/>
                <w:szCs w:val="28"/>
              </w:rPr>
              <w:t>2016 г.</w:t>
            </w:r>
          </w:p>
        </w:tc>
      </w:tr>
      <w:tr w:rsidR="000B4EA9" w:rsidRPr="002B500B" w:rsidTr="0041742D">
        <w:tc>
          <w:tcPr>
            <w:tcW w:w="4906" w:type="dxa"/>
            <w:shd w:val="clear" w:color="auto" w:fill="auto"/>
            <w:vAlign w:val="center"/>
          </w:tcPr>
          <w:p w:rsidR="000B4EA9" w:rsidRPr="0041742D" w:rsidRDefault="000B4EA9" w:rsidP="00DA46B7">
            <w:pPr>
              <w:jc w:val="both"/>
              <w:rPr>
                <w:b/>
                <w:bCs/>
              </w:rPr>
            </w:pPr>
            <w:r w:rsidRPr="0041742D">
              <w:rPr>
                <w:b/>
                <w:bCs/>
              </w:rPr>
              <w:t>МЕЖБЮДЖЕТНЫЕ ТРАНСФЕРТЫ - ВСЕГО:</w:t>
            </w:r>
          </w:p>
        </w:tc>
        <w:tc>
          <w:tcPr>
            <w:tcW w:w="1581" w:type="dxa"/>
            <w:shd w:val="clear" w:color="auto" w:fill="auto"/>
            <w:vAlign w:val="center"/>
          </w:tcPr>
          <w:p w:rsidR="000B4EA9" w:rsidRPr="000B4EA9" w:rsidRDefault="000B4EA9" w:rsidP="00DE38C5">
            <w:pPr>
              <w:jc w:val="center"/>
              <w:rPr>
                <w:b/>
                <w:bCs/>
                <w:sz w:val="28"/>
                <w:szCs w:val="28"/>
              </w:rPr>
            </w:pPr>
            <w:r w:rsidRPr="000B4EA9">
              <w:rPr>
                <w:b/>
                <w:bCs/>
                <w:sz w:val="28"/>
                <w:szCs w:val="28"/>
              </w:rPr>
              <w:t>1573,4</w:t>
            </w:r>
          </w:p>
        </w:tc>
        <w:tc>
          <w:tcPr>
            <w:tcW w:w="1559" w:type="dxa"/>
            <w:shd w:val="clear" w:color="auto" w:fill="auto"/>
            <w:vAlign w:val="center"/>
          </w:tcPr>
          <w:p w:rsidR="000B4EA9" w:rsidRPr="000B4EA9" w:rsidRDefault="000B4EA9" w:rsidP="00DE38C5">
            <w:pPr>
              <w:jc w:val="center"/>
              <w:rPr>
                <w:b/>
                <w:bCs/>
                <w:sz w:val="28"/>
                <w:szCs w:val="28"/>
              </w:rPr>
            </w:pPr>
            <w:r w:rsidRPr="000B4EA9">
              <w:rPr>
                <w:b/>
                <w:bCs/>
                <w:sz w:val="28"/>
                <w:szCs w:val="28"/>
              </w:rPr>
              <w:t>1503,5</w:t>
            </w:r>
          </w:p>
        </w:tc>
        <w:tc>
          <w:tcPr>
            <w:tcW w:w="1525" w:type="dxa"/>
            <w:shd w:val="clear" w:color="auto" w:fill="auto"/>
            <w:vAlign w:val="center"/>
          </w:tcPr>
          <w:p w:rsidR="000B4EA9" w:rsidRPr="000B4EA9" w:rsidRDefault="000B4EA9" w:rsidP="00DE38C5">
            <w:pPr>
              <w:jc w:val="center"/>
              <w:rPr>
                <w:b/>
                <w:bCs/>
                <w:sz w:val="28"/>
                <w:szCs w:val="28"/>
              </w:rPr>
            </w:pPr>
            <w:r w:rsidRPr="000B4EA9">
              <w:rPr>
                <w:b/>
                <w:bCs/>
                <w:sz w:val="28"/>
                <w:szCs w:val="28"/>
              </w:rPr>
              <w:t>1537,2</w:t>
            </w:r>
          </w:p>
        </w:tc>
      </w:tr>
      <w:tr w:rsidR="000B4EA9" w:rsidRPr="002B500B" w:rsidTr="0041742D">
        <w:tc>
          <w:tcPr>
            <w:tcW w:w="4906" w:type="dxa"/>
            <w:shd w:val="clear" w:color="auto" w:fill="auto"/>
            <w:vAlign w:val="center"/>
          </w:tcPr>
          <w:p w:rsidR="000B4EA9" w:rsidRPr="00AC5C85" w:rsidRDefault="000B4EA9" w:rsidP="00DA46B7">
            <w:pPr>
              <w:jc w:val="both"/>
            </w:pPr>
            <w:r w:rsidRPr="00AC5C85">
              <w:t>Безвозмездные поступления от других бюджетов бюджетной системы Российской Федерации</w:t>
            </w:r>
          </w:p>
        </w:tc>
        <w:tc>
          <w:tcPr>
            <w:tcW w:w="1581" w:type="dxa"/>
            <w:shd w:val="clear" w:color="auto" w:fill="auto"/>
            <w:vAlign w:val="center"/>
          </w:tcPr>
          <w:p w:rsidR="000B4EA9" w:rsidRPr="000B4EA9" w:rsidRDefault="000B4EA9" w:rsidP="00DE38C5">
            <w:pPr>
              <w:jc w:val="center"/>
              <w:rPr>
                <w:sz w:val="28"/>
                <w:szCs w:val="28"/>
              </w:rPr>
            </w:pPr>
            <w:r w:rsidRPr="000B4EA9">
              <w:rPr>
                <w:sz w:val="28"/>
                <w:szCs w:val="28"/>
              </w:rPr>
              <w:t>1573,4</w:t>
            </w:r>
          </w:p>
        </w:tc>
        <w:tc>
          <w:tcPr>
            <w:tcW w:w="1559" w:type="dxa"/>
            <w:shd w:val="clear" w:color="auto" w:fill="auto"/>
            <w:vAlign w:val="center"/>
          </w:tcPr>
          <w:p w:rsidR="000B4EA9" w:rsidRPr="000B4EA9" w:rsidRDefault="000B4EA9" w:rsidP="00DE38C5">
            <w:pPr>
              <w:jc w:val="center"/>
              <w:rPr>
                <w:sz w:val="28"/>
                <w:szCs w:val="28"/>
              </w:rPr>
            </w:pPr>
            <w:r w:rsidRPr="000B4EA9">
              <w:rPr>
                <w:sz w:val="28"/>
                <w:szCs w:val="28"/>
              </w:rPr>
              <w:t>1503,5</w:t>
            </w:r>
          </w:p>
        </w:tc>
        <w:tc>
          <w:tcPr>
            <w:tcW w:w="1525" w:type="dxa"/>
            <w:shd w:val="clear" w:color="auto" w:fill="auto"/>
            <w:vAlign w:val="center"/>
          </w:tcPr>
          <w:p w:rsidR="000B4EA9" w:rsidRPr="000B4EA9" w:rsidRDefault="000B4EA9" w:rsidP="00DE38C5">
            <w:pPr>
              <w:jc w:val="center"/>
              <w:rPr>
                <w:bCs/>
                <w:sz w:val="28"/>
                <w:szCs w:val="28"/>
              </w:rPr>
            </w:pPr>
            <w:r w:rsidRPr="000B4EA9">
              <w:rPr>
                <w:bCs/>
                <w:sz w:val="28"/>
                <w:szCs w:val="28"/>
              </w:rPr>
              <w:t>1537,2</w:t>
            </w:r>
          </w:p>
        </w:tc>
      </w:tr>
      <w:tr w:rsidR="000B4EA9" w:rsidRPr="002B500B" w:rsidTr="0041742D">
        <w:tc>
          <w:tcPr>
            <w:tcW w:w="4906" w:type="dxa"/>
            <w:shd w:val="clear" w:color="auto" w:fill="auto"/>
            <w:vAlign w:val="center"/>
          </w:tcPr>
          <w:p w:rsidR="000B4EA9" w:rsidRPr="00AC5C85" w:rsidRDefault="000B4EA9" w:rsidP="00DA46B7">
            <w:pPr>
              <w:jc w:val="both"/>
            </w:pPr>
            <w:r>
              <w:t>Дотаци</w:t>
            </w:r>
            <w:r w:rsidRPr="00AC5C85">
              <w:t xml:space="preserve">и бюджетам </w:t>
            </w:r>
            <w:r>
              <w:t>поселений из районного фонда финансовой поддержки поселений на выравнивание бюджетной обеспеченности</w:t>
            </w:r>
          </w:p>
        </w:tc>
        <w:tc>
          <w:tcPr>
            <w:tcW w:w="1581" w:type="dxa"/>
            <w:shd w:val="clear" w:color="auto" w:fill="auto"/>
            <w:vAlign w:val="center"/>
          </w:tcPr>
          <w:p w:rsidR="000B4EA9" w:rsidRPr="000B4EA9" w:rsidRDefault="000B4EA9" w:rsidP="00DE38C5">
            <w:pPr>
              <w:jc w:val="center"/>
              <w:rPr>
                <w:sz w:val="28"/>
                <w:szCs w:val="28"/>
              </w:rPr>
            </w:pPr>
            <w:r w:rsidRPr="000B4EA9">
              <w:rPr>
                <w:sz w:val="28"/>
                <w:szCs w:val="28"/>
              </w:rPr>
              <w:t>1486,4</w:t>
            </w:r>
          </w:p>
        </w:tc>
        <w:tc>
          <w:tcPr>
            <w:tcW w:w="1559" w:type="dxa"/>
            <w:shd w:val="clear" w:color="auto" w:fill="auto"/>
            <w:vAlign w:val="center"/>
          </w:tcPr>
          <w:p w:rsidR="000B4EA9" w:rsidRPr="000B4EA9" w:rsidRDefault="000B4EA9" w:rsidP="00DE38C5">
            <w:pPr>
              <w:jc w:val="center"/>
              <w:rPr>
                <w:sz w:val="28"/>
                <w:szCs w:val="28"/>
              </w:rPr>
            </w:pPr>
            <w:r w:rsidRPr="000B4EA9">
              <w:rPr>
                <w:sz w:val="28"/>
                <w:szCs w:val="28"/>
              </w:rPr>
              <w:t>1418,1</w:t>
            </w:r>
          </w:p>
        </w:tc>
        <w:tc>
          <w:tcPr>
            <w:tcW w:w="1525" w:type="dxa"/>
            <w:shd w:val="clear" w:color="auto" w:fill="auto"/>
            <w:vAlign w:val="center"/>
          </w:tcPr>
          <w:p w:rsidR="000B4EA9" w:rsidRPr="000B4EA9" w:rsidRDefault="000B4EA9" w:rsidP="00DE38C5">
            <w:pPr>
              <w:jc w:val="center"/>
              <w:rPr>
                <w:sz w:val="28"/>
                <w:szCs w:val="28"/>
              </w:rPr>
            </w:pPr>
            <w:r w:rsidRPr="000B4EA9">
              <w:rPr>
                <w:sz w:val="28"/>
                <w:szCs w:val="28"/>
              </w:rPr>
              <w:t>1444,3</w:t>
            </w:r>
          </w:p>
        </w:tc>
      </w:tr>
      <w:tr w:rsidR="000B4EA9" w:rsidRPr="002B500B" w:rsidTr="0041742D">
        <w:tc>
          <w:tcPr>
            <w:tcW w:w="4906" w:type="dxa"/>
            <w:shd w:val="clear" w:color="auto" w:fill="auto"/>
            <w:vAlign w:val="center"/>
          </w:tcPr>
          <w:p w:rsidR="000B4EA9" w:rsidRPr="00AC5C85" w:rsidRDefault="000B4EA9" w:rsidP="00DA46B7">
            <w:pPr>
              <w:jc w:val="both"/>
            </w:pPr>
            <w:r>
              <w:t>Дотаци</w:t>
            </w:r>
            <w:r w:rsidRPr="00AC5C85">
              <w:t xml:space="preserve">и бюджетам </w:t>
            </w:r>
            <w:r>
              <w:t>поселений из районного фонда сбалансированности</w:t>
            </w:r>
          </w:p>
        </w:tc>
        <w:tc>
          <w:tcPr>
            <w:tcW w:w="1581" w:type="dxa"/>
            <w:shd w:val="clear" w:color="auto" w:fill="auto"/>
            <w:vAlign w:val="center"/>
          </w:tcPr>
          <w:p w:rsidR="000B4EA9" w:rsidRPr="000B4EA9" w:rsidRDefault="000B4EA9" w:rsidP="00DE38C5">
            <w:pPr>
              <w:jc w:val="center"/>
              <w:rPr>
                <w:sz w:val="28"/>
                <w:szCs w:val="28"/>
              </w:rPr>
            </w:pPr>
            <w:r w:rsidRPr="000B4EA9">
              <w:rPr>
                <w:sz w:val="28"/>
                <w:szCs w:val="28"/>
              </w:rPr>
              <w:t>7,0</w:t>
            </w:r>
          </w:p>
        </w:tc>
        <w:tc>
          <w:tcPr>
            <w:tcW w:w="1559" w:type="dxa"/>
            <w:shd w:val="clear" w:color="auto" w:fill="auto"/>
            <w:vAlign w:val="center"/>
          </w:tcPr>
          <w:p w:rsidR="000B4EA9" w:rsidRPr="000B4EA9" w:rsidRDefault="000B4EA9" w:rsidP="00DE38C5">
            <w:pPr>
              <w:jc w:val="center"/>
              <w:rPr>
                <w:sz w:val="28"/>
                <w:szCs w:val="28"/>
              </w:rPr>
            </w:pPr>
            <w:r w:rsidRPr="000B4EA9">
              <w:rPr>
                <w:sz w:val="28"/>
                <w:szCs w:val="28"/>
              </w:rPr>
              <w:t>6,3</w:t>
            </w:r>
          </w:p>
        </w:tc>
        <w:tc>
          <w:tcPr>
            <w:tcW w:w="1525" w:type="dxa"/>
            <w:shd w:val="clear" w:color="auto" w:fill="auto"/>
            <w:vAlign w:val="center"/>
          </w:tcPr>
          <w:p w:rsidR="000B4EA9" w:rsidRPr="000B4EA9" w:rsidRDefault="000B4EA9" w:rsidP="00DE38C5">
            <w:pPr>
              <w:jc w:val="center"/>
              <w:rPr>
                <w:sz w:val="28"/>
                <w:szCs w:val="28"/>
              </w:rPr>
            </w:pPr>
            <w:r w:rsidRPr="000B4EA9">
              <w:rPr>
                <w:sz w:val="28"/>
                <w:szCs w:val="28"/>
              </w:rPr>
              <w:t>6,3</w:t>
            </w:r>
          </w:p>
        </w:tc>
      </w:tr>
      <w:tr w:rsidR="000B4EA9" w:rsidRPr="002B500B" w:rsidTr="0041742D">
        <w:tc>
          <w:tcPr>
            <w:tcW w:w="4906" w:type="dxa"/>
            <w:shd w:val="clear" w:color="auto" w:fill="auto"/>
            <w:vAlign w:val="center"/>
          </w:tcPr>
          <w:p w:rsidR="000B4EA9" w:rsidRDefault="000B4EA9" w:rsidP="00DA46B7">
            <w:pPr>
              <w:jc w:val="both"/>
            </w:pPr>
            <w:r>
              <w:t>Субвенции бюджетам поселений на осуществление полномочий по государственной регистрации актов гражданского состояния</w:t>
            </w:r>
          </w:p>
        </w:tc>
        <w:tc>
          <w:tcPr>
            <w:tcW w:w="1581" w:type="dxa"/>
            <w:shd w:val="clear" w:color="auto" w:fill="auto"/>
            <w:vAlign w:val="center"/>
          </w:tcPr>
          <w:p w:rsidR="000B4EA9" w:rsidRPr="000B4EA9" w:rsidRDefault="000B4EA9" w:rsidP="00DE38C5">
            <w:pPr>
              <w:jc w:val="center"/>
              <w:rPr>
                <w:sz w:val="28"/>
                <w:szCs w:val="28"/>
              </w:rPr>
            </w:pPr>
            <w:r w:rsidRPr="000B4EA9">
              <w:rPr>
                <w:sz w:val="28"/>
                <w:szCs w:val="28"/>
              </w:rPr>
              <w:t>1,6</w:t>
            </w:r>
          </w:p>
        </w:tc>
        <w:tc>
          <w:tcPr>
            <w:tcW w:w="1559" w:type="dxa"/>
            <w:shd w:val="clear" w:color="auto" w:fill="auto"/>
            <w:vAlign w:val="center"/>
          </w:tcPr>
          <w:p w:rsidR="000B4EA9" w:rsidRPr="000B4EA9" w:rsidRDefault="000B4EA9" w:rsidP="00DE38C5">
            <w:pPr>
              <w:jc w:val="center"/>
              <w:rPr>
                <w:sz w:val="28"/>
                <w:szCs w:val="28"/>
              </w:rPr>
            </w:pPr>
            <w:r w:rsidRPr="000B4EA9">
              <w:rPr>
                <w:sz w:val="28"/>
                <w:szCs w:val="28"/>
              </w:rPr>
              <w:t>0,8</w:t>
            </w:r>
          </w:p>
        </w:tc>
        <w:tc>
          <w:tcPr>
            <w:tcW w:w="1525" w:type="dxa"/>
            <w:shd w:val="clear" w:color="auto" w:fill="auto"/>
            <w:vAlign w:val="center"/>
          </w:tcPr>
          <w:p w:rsidR="000B4EA9" w:rsidRPr="000B4EA9" w:rsidRDefault="000B4EA9" w:rsidP="00DE38C5">
            <w:pPr>
              <w:jc w:val="center"/>
              <w:rPr>
                <w:sz w:val="28"/>
                <w:szCs w:val="28"/>
              </w:rPr>
            </w:pPr>
            <w:r w:rsidRPr="000B4EA9">
              <w:rPr>
                <w:sz w:val="28"/>
                <w:szCs w:val="28"/>
              </w:rPr>
              <w:t>8,3</w:t>
            </w:r>
          </w:p>
        </w:tc>
      </w:tr>
      <w:tr w:rsidR="000B4EA9" w:rsidRPr="002B500B" w:rsidTr="0041742D">
        <w:tc>
          <w:tcPr>
            <w:tcW w:w="4906" w:type="dxa"/>
            <w:shd w:val="clear" w:color="auto" w:fill="auto"/>
            <w:vAlign w:val="center"/>
          </w:tcPr>
          <w:p w:rsidR="000B4EA9" w:rsidRDefault="000B4EA9" w:rsidP="00DA46B7">
            <w:pPr>
              <w:jc w:val="both"/>
            </w:pPr>
            <w:r>
              <w:t>Субвенции бюджетам поселений на осуществление первичного воинского учета на территориях, где отсутствуют военные комиссариаты</w:t>
            </w:r>
          </w:p>
        </w:tc>
        <w:tc>
          <w:tcPr>
            <w:tcW w:w="1581" w:type="dxa"/>
            <w:shd w:val="clear" w:color="auto" w:fill="auto"/>
            <w:vAlign w:val="center"/>
          </w:tcPr>
          <w:p w:rsidR="000B4EA9" w:rsidRPr="000B4EA9" w:rsidRDefault="000B4EA9" w:rsidP="00DE38C5">
            <w:pPr>
              <w:jc w:val="center"/>
              <w:rPr>
                <w:sz w:val="28"/>
                <w:szCs w:val="28"/>
              </w:rPr>
            </w:pPr>
            <w:r w:rsidRPr="000B4EA9">
              <w:rPr>
                <w:sz w:val="28"/>
                <w:szCs w:val="28"/>
              </w:rPr>
              <w:t>78,4</w:t>
            </w:r>
          </w:p>
        </w:tc>
        <w:tc>
          <w:tcPr>
            <w:tcW w:w="1559" w:type="dxa"/>
            <w:shd w:val="clear" w:color="auto" w:fill="auto"/>
            <w:vAlign w:val="center"/>
          </w:tcPr>
          <w:p w:rsidR="000B4EA9" w:rsidRPr="000B4EA9" w:rsidRDefault="000B4EA9" w:rsidP="00DE38C5">
            <w:pPr>
              <w:jc w:val="center"/>
              <w:rPr>
                <w:sz w:val="28"/>
                <w:szCs w:val="28"/>
              </w:rPr>
            </w:pPr>
            <w:r w:rsidRPr="000B4EA9">
              <w:rPr>
                <w:sz w:val="28"/>
                <w:szCs w:val="28"/>
              </w:rPr>
              <w:t>78,3</w:t>
            </w:r>
          </w:p>
        </w:tc>
        <w:tc>
          <w:tcPr>
            <w:tcW w:w="1525" w:type="dxa"/>
            <w:shd w:val="clear" w:color="auto" w:fill="auto"/>
            <w:vAlign w:val="center"/>
          </w:tcPr>
          <w:p w:rsidR="000B4EA9" w:rsidRPr="000B4EA9" w:rsidRDefault="000B4EA9" w:rsidP="00DE38C5">
            <w:pPr>
              <w:jc w:val="center"/>
              <w:rPr>
                <w:sz w:val="28"/>
                <w:szCs w:val="28"/>
              </w:rPr>
            </w:pPr>
            <w:r w:rsidRPr="000B4EA9">
              <w:rPr>
                <w:sz w:val="28"/>
                <w:szCs w:val="28"/>
              </w:rPr>
              <w:t>78,3</w:t>
            </w:r>
          </w:p>
        </w:tc>
      </w:tr>
    </w:tbl>
    <w:p w:rsidR="005425E8" w:rsidRPr="0078586F" w:rsidRDefault="005425E8" w:rsidP="0078586F">
      <w:pPr>
        <w:spacing w:before="100" w:beforeAutospacing="1" w:after="100" w:afterAutospacing="1" w:line="276" w:lineRule="auto"/>
        <w:ind w:right="-1" w:firstLine="709"/>
        <w:jc w:val="both"/>
        <w:rPr>
          <w:sz w:val="28"/>
          <w:szCs w:val="28"/>
        </w:rPr>
      </w:pPr>
      <w:r w:rsidRPr="0078586F">
        <w:rPr>
          <w:b/>
          <w:bCs/>
          <w:sz w:val="28"/>
          <w:szCs w:val="28"/>
        </w:rPr>
        <w:t xml:space="preserve">          </w:t>
      </w:r>
      <w:r w:rsidR="0078586F" w:rsidRPr="0078586F">
        <w:rPr>
          <w:b/>
          <w:bCs/>
          <w:sz w:val="28"/>
          <w:szCs w:val="28"/>
        </w:rPr>
        <w:t>4</w:t>
      </w:r>
      <w:r w:rsidRPr="0078586F">
        <w:rPr>
          <w:b/>
          <w:bCs/>
          <w:sz w:val="28"/>
          <w:szCs w:val="28"/>
        </w:rPr>
        <w:t>. Расходы проекта бюджета сельского поселения</w:t>
      </w:r>
    </w:p>
    <w:p w:rsidR="005425E8" w:rsidRPr="0078586F" w:rsidRDefault="0078586F" w:rsidP="0078586F">
      <w:pPr>
        <w:spacing w:before="100" w:beforeAutospacing="1" w:after="100" w:afterAutospacing="1" w:line="276" w:lineRule="auto"/>
        <w:ind w:right="-1" w:firstLine="709"/>
        <w:jc w:val="both"/>
        <w:rPr>
          <w:sz w:val="28"/>
          <w:szCs w:val="28"/>
        </w:rPr>
      </w:pPr>
      <w:r w:rsidRPr="0078586F">
        <w:rPr>
          <w:b/>
          <w:bCs/>
          <w:sz w:val="28"/>
          <w:szCs w:val="28"/>
        </w:rPr>
        <w:t>4</w:t>
      </w:r>
      <w:r w:rsidR="005425E8" w:rsidRPr="0078586F">
        <w:rPr>
          <w:b/>
          <w:bCs/>
          <w:sz w:val="28"/>
          <w:szCs w:val="28"/>
        </w:rPr>
        <w:t>.1. Общая характеристика</w:t>
      </w:r>
    </w:p>
    <w:p w:rsidR="005425E8" w:rsidRPr="0078586F" w:rsidRDefault="005425E8" w:rsidP="0078586F">
      <w:pPr>
        <w:spacing w:before="100" w:beforeAutospacing="1" w:after="100" w:afterAutospacing="1" w:line="276" w:lineRule="auto"/>
        <w:ind w:right="-1" w:firstLine="709"/>
        <w:jc w:val="both"/>
        <w:rPr>
          <w:sz w:val="28"/>
          <w:szCs w:val="28"/>
        </w:rPr>
      </w:pPr>
      <w:r w:rsidRPr="0078586F">
        <w:rPr>
          <w:sz w:val="28"/>
          <w:szCs w:val="28"/>
        </w:rPr>
        <w:t xml:space="preserve">Общий объем расходов бюджета сельского поселения на 2014 год предусмотрен в сумме </w:t>
      </w:r>
      <w:r w:rsidR="00BA4792">
        <w:rPr>
          <w:sz w:val="28"/>
          <w:szCs w:val="28"/>
        </w:rPr>
        <w:t>2068,4</w:t>
      </w:r>
      <w:r w:rsidRPr="0078586F">
        <w:rPr>
          <w:sz w:val="28"/>
          <w:szCs w:val="28"/>
        </w:rPr>
        <w:t xml:space="preserve"> тыс. руб., что на </w:t>
      </w:r>
      <w:r w:rsidR="00791892">
        <w:rPr>
          <w:sz w:val="28"/>
          <w:szCs w:val="28"/>
        </w:rPr>
        <w:t>295,4</w:t>
      </w:r>
      <w:r w:rsidRPr="0078586F">
        <w:rPr>
          <w:sz w:val="28"/>
          <w:szCs w:val="28"/>
        </w:rPr>
        <w:t xml:space="preserve"> тыс. руб. </w:t>
      </w:r>
      <w:r w:rsidR="00B26318">
        <w:rPr>
          <w:sz w:val="28"/>
          <w:szCs w:val="28"/>
        </w:rPr>
        <w:t>больш</w:t>
      </w:r>
      <w:r w:rsidRPr="0078586F">
        <w:rPr>
          <w:sz w:val="28"/>
          <w:szCs w:val="28"/>
        </w:rPr>
        <w:t xml:space="preserve">е уровня расходов, утвержденных на 2013 год. На </w:t>
      </w:r>
      <w:r w:rsidR="00B26318" w:rsidRPr="0078586F">
        <w:rPr>
          <w:sz w:val="28"/>
          <w:szCs w:val="28"/>
        </w:rPr>
        <w:t>2015 год</w:t>
      </w:r>
      <w:r w:rsidR="00B26318">
        <w:rPr>
          <w:sz w:val="28"/>
          <w:szCs w:val="28"/>
        </w:rPr>
        <w:t xml:space="preserve"> </w:t>
      </w:r>
      <w:r w:rsidRPr="0078586F">
        <w:rPr>
          <w:sz w:val="28"/>
          <w:szCs w:val="28"/>
        </w:rPr>
        <w:t>запланировано -</w:t>
      </w:r>
      <w:r w:rsidR="00BA4792">
        <w:rPr>
          <w:sz w:val="28"/>
          <w:szCs w:val="28"/>
        </w:rPr>
        <w:t>2010,5</w:t>
      </w:r>
      <w:r w:rsidRPr="0078586F">
        <w:rPr>
          <w:sz w:val="28"/>
          <w:szCs w:val="28"/>
        </w:rPr>
        <w:t xml:space="preserve"> тыс. руб. и  на 2016 год </w:t>
      </w:r>
      <w:r w:rsidR="00B26318">
        <w:rPr>
          <w:sz w:val="28"/>
          <w:szCs w:val="28"/>
        </w:rPr>
        <w:t>–</w:t>
      </w:r>
      <w:r w:rsidRPr="0078586F">
        <w:rPr>
          <w:sz w:val="28"/>
          <w:szCs w:val="28"/>
        </w:rPr>
        <w:t xml:space="preserve"> </w:t>
      </w:r>
      <w:r w:rsidR="00BA4792">
        <w:rPr>
          <w:sz w:val="28"/>
          <w:szCs w:val="28"/>
        </w:rPr>
        <w:t>2056,2</w:t>
      </w:r>
      <w:r w:rsidRPr="0078586F">
        <w:rPr>
          <w:sz w:val="28"/>
          <w:szCs w:val="28"/>
        </w:rPr>
        <w:t xml:space="preserve"> тыс.</w:t>
      </w:r>
      <w:r w:rsidR="00B26318">
        <w:rPr>
          <w:sz w:val="28"/>
          <w:szCs w:val="28"/>
        </w:rPr>
        <w:t xml:space="preserve"> </w:t>
      </w:r>
      <w:r w:rsidRPr="0078586F">
        <w:rPr>
          <w:sz w:val="28"/>
          <w:szCs w:val="28"/>
        </w:rPr>
        <w:t>руб.</w:t>
      </w:r>
    </w:p>
    <w:p w:rsidR="005425E8" w:rsidRPr="0078586F" w:rsidRDefault="00DA46B7" w:rsidP="0078586F">
      <w:pPr>
        <w:spacing w:before="100" w:beforeAutospacing="1" w:after="100" w:afterAutospacing="1" w:line="276" w:lineRule="auto"/>
        <w:ind w:right="-1" w:firstLine="709"/>
        <w:jc w:val="both"/>
        <w:rPr>
          <w:sz w:val="28"/>
          <w:szCs w:val="28"/>
        </w:rPr>
      </w:pPr>
      <w:r>
        <w:rPr>
          <w:b/>
          <w:bCs/>
          <w:sz w:val="28"/>
          <w:szCs w:val="28"/>
        </w:rPr>
        <w:t>4</w:t>
      </w:r>
      <w:r w:rsidR="005425E8" w:rsidRPr="0078586F">
        <w:rPr>
          <w:b/>
          <w:bCs/>
          <w:sz w:val="28"/>
          <w:szCs w:val="28"/>
        </w:rPr>
        <w:t>.2. Анализ расходов проекта бюджета сельского поселения по разделам и подразделам классификации расходов бюджета</w:t>
      </w:r>
    </w:p>
    <w:p w:rsidR="005425E8" w:rsidRPr="0078586F" w:rsidRDefault="005425E8" w:rsidP="0078586F">
      <w:pPr>
        <w:spacing w:before="100" w:beforeAutospacing="1" w:after="100" w:afterAutospacing="1" w:line="276" w:lineRule="auto"/>
        <w:ind w:right="-1" w:firstLine="709"/>
        <w:jc w:val="both"/>
        <w:rPr>
          <w:sz w:val="28"/>
          <w:szCs w:val="28"/>
        </w:rPr>
      </w:pPr>
      <w:r w:rsidRPr="0078586F">
        <w:rPr>
          <w:sz w:val="28"/>
          <w:szCs w:val="28"/>
        </w:rPr>
        <w:lastRenderedPageBreak/>
        <w:t>Проект бюджета сельского поселения по расходам сформирован в соответствии с классификацией расходов, установленной статьей 21 Бюджетного кодекса Российской Федерации.</w:t>
      </w:r>
    </w:p>
    <w:p w:rsidR="000C00E0" w:rsidRPr="007F45FC" w:rsidRDefault="005425E8" w:rsidP="000C00E0">
      <w:pPr>
        <w:spacing w:before="100" w:beforeAutospacing="1" w:after="100" w:afterAutospacing="1" w:line="276" w:lineRule="auto"/>
        <w:ind w:right="-1" w:firstLine="709"/>
        <w:jc w:val="both"/>
        <w:rPr>
          <w:sz w:val="28"/>
          <w:szCs w:val="28"/>
        </w:rPr>
      </w:pPr>
      <w:r w:rsidRPr="0078586F">
        <w:rPr>
          <w:sz w:val="28"/>
          <w:szCs w:val="28"/>
        </w:rPr>
        <w:t xml:space="preserve">Структура прогнозируемых расходов бюджета </w:t>
      </w:r>
      <w:proofErr w:type="spellStart"/>
      <w:r w:rsidR="00B34255">
        <w:rPr>
          <w:sz w:val="28"/>
          <w:szCs w:val="28"/>
        </w:rPr>
        <w:t>Верхнеошмин</w:t>
      </w:r>
      <w:r w:rsidRPr="0078586F">
        <w:rPr>
          <w:sz w:val="28"/>
          <w:szCs w:val="28"/>
        </w:rPr>
        <w:t>ского</w:t>
      </w:r>
      <w:proofErr w:type="spellEnd"/>
      <w:r w:rsidRPr="0078586F">
        <w:rPr>
          <w:sz w:val="28"/>
          <w:szCs w:val="28"/>
        </w:rPr>
        <w:t xml:space="preserve"> сельского </w:t>
      </w:r>
      <w:r w:rsidRPr="007F45FC">
        <w:rPr>
          <w:sz w:val="28"/>
          <w:szCs w:val="28"/>
        </w:rPr>
        <w:t>поселения на 201</w:t>
      </w:r>
      <w:r w:rsidR="000C00E0" w:rsidRPr="007F45FC">
        <w:rPr>
          <w:sz w:val="28"/>
          <w:szCs w:val="28"/>
        </w:rPr>
        <w:t>3</w:t>
      </w:r>
      <w:r w:rsidRPr="007F45FC">
        <w:rPr>
          <w:sz w:val="28"/>
          <w:szCs w:val="28"/>
        </w:rPr>
        <w:t xml:space="preserve"> - 2016 годы представлена следующими данными:                                </w:t>
      </w:r>
      <w:r w:rsidR="000C00E0" w:rsidRPr="007F45FC">
        <w:rPr>
          <w:sz w:val="28"/>
          <w:szCs w:val="28"/>
        </w:rPr>
        <w:t xml:space="preserve">                                    </w:t>
      </w:r>
      <w:r w:rsidRPr="007F45FC">
        <w:rPr>
          <w:sz w:val="28"/>
          <w:szCs w:val="28"/>
        </w:rPr>
        <w:t xml:space="preserve"> Таблица №</w:t>
      </w:r>
      <w:r w:rsidR="000C00E0" w:rsidRPr="007F45FC">
        <w:rPr>
          <w:sz w:val="28"/>
          <w:szCs w:val="28"/>
        </w:rPr>
        <w:t>5</w:t>
      </w:r>
      <w:r w:rsidRPr="007F45FC">
        <w:rPr>
          <w:sz w:val="28"/>
          <w:szCs w:val="28"/>
        </w:rPr>
        <w:t xml:space="preserve"> (тыс. руб.)</w:t>
      </w:r>
    </w:p>
    <w:tbl>
      <w:tblPr>
        <w:tblpPr w:leftFromText="45" w:rightFromText="45" w:vertAnchor="text"/>
        <w:tblW w:w="96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690"/>
        <w:gridCol w:w="504"/>
        <w:gridCol w:w="770"/>
        <w:gridCol w:w="545"/>
        <w:gridCol w:w="761"/>
        <w:gridCol w:w="535"/>
        <w:gridCol w:w="781"/>
        <w:gridCol w:w="540"/>
        <w:gridCol w:w="736"/>
        <w:gridCol w:w="559"/>
      </w:tblGrid>
      <w:tr w:rsidR="007F45FC" w:rsidRPr="007F45FC" w:rsidTr="006D18F5">
        <w:trPr>
          <w:trHeight w:val="924"/>
          <w:tblCellSpacing w:w="0" w:type="dxa"/>
        </w:trPr>
        <w:tc>
          <w:tcPr>
            <w:tcW w:w="3236" w:type="dxa"/>
            <w:vMerge w:val="restart"/>
            <w:vAlign w:val="center"/>
            <w:hideMark/>
          </w:tcPr>
          <w:p w:rsidR="000C00E0" w:rsidRPr="007F45FC" w:rsidRDefault="000C00E0" w:rsidP="00DA46B7">
            <w:pPr>
              <w:spacing w:before="100" w:beforeAutospacing="1" w:after="100" w:afterAutospacing="1" w:line="312" w:lineRule="atLeast"/>
              <w:jc w:val="center"/>
            </w:pPr>
            <w:r w:rsidRPr="007F45FC">
              <w:t>Наименование раздела</w:t>
            </w:r>
          </w:p>
        </w:tc>
        <w:tc>
          <w:tcPr>
            <w:tcW w:w="1194" w:type="dxa"/>
            <w:gridSpan w:val="2"/>
            <w:hideMark/>
          </w:tcPr>
          <w:p w:rsidR="000C00E0" w:rsidRPr="007F45FC" w:rsidRDefault="000C00E0" w:rsidP="00DA46B7">
            <w:pPr>
              <w:spacing w:before="100" w:beforeAutospacing="1" w:after="100" w:afterAutospacing="1" w:line="312" w:lineRule="atLeast"/>
              <w:jc w:val="center"/>
              <w:rPr>
                <w:sz w:val="20"/>
                <w:szCs w:val="20"/>
              </w:rPr>
            </w:pPr>
            <w:r w:rsidRPr="007F45FC">
              <w:rPr>
                <w:sz w:val="20"/>
                <w:szCs w:val="20"/>
              </w:rPr>
              <w:t xml:space="preserve">2013 год </w:t>
            </w:r>
            <w:proofErr w:type="gramStart"/>
            <w:r w:rsidRPr="007F45FC">
              <w:rPr>
                <w:sz w:val="20"/>
                <w:szCs w:val="20"/>
              </w:rPr>
              <w:t>-п</w:t>
            </w:r>
            <w:proofErr w:type="gramEnd"/>
            <w:r w:rsidRPr="007F45FC">
              <w:rPr>
                <w:sz w:val="20"/>
                <w:szCs w:val="20"/>
              </w:rPr>
              <w:t>лан</w:t>
            </w:r>
          </w:p>
        </w:tc>
        <w:tc>
          <w:tcPr>
            <w:tcW w:w="1315" w:type="dxa"/>
            <w:gridSpan w:val="2"/>
            <w:hideMark/>
          </w:tcPr>
          <w:p w:rsidR="000C00E0" w:rsidRPr="007F45FC" w:rsidRDefault="000C00E0" w:rsidP="00DA46B7">
            <w:pPr>
              <w:spacing w:before="100" w:beforeAutospacing="1" w:after="100" w:afterAutospacing="1" w:line="312" w:lineRule="atLeast"/>
              <w:jc w:val="center"/>
              <w:rPr>
                <w:sz w:val="20"/>
                <w:szCs w:val="20"/>
              </w:rPr>
            </w:pPr>
            <w:r w:rsidRPr="007F45FC">
              <w:rPr>
                <w:sz w:val="20"/>
                <w:szCs w:val="20"/>
              </w:rPr>
              <w:t>2013 год - ожидаемое исполнение</w:t>
            </w:r>
          </w:p>
        </w:tc>
        <w:tc>
          <w:tcPr>
            <w:tcW w:w="1296" w:type="dxa"/>
            <w:gridSpan w:val="2"/>
            <w:hideMark/>
          </w:tcPr>
          <w:p w:rsidR="000C00E0" w:rsidRPr="007F45FC" w:rsidRDefault="000C00E0" w:rsidP="00DA46B7">
            <w:pPr>
              <w:spacing w:before="100" w:beforeAutospacing="1" w:after="100" w:afterAutospacing="1" w:line="312" w:lineRule="atLeast"/>
              <w:jc w:val="center"/>
              <w:rPr>
                <w:sz w:val="20"/>
                <w:szCs w:val="20"/>
              </w:rPr>
            </w:pPr>
            <w:r w:rsidRPr="007F45FC">
              <w:rPr>
                <w:sz w:val="20"/>
                <w:szCs w:val="20"/>
              </w:rPr>
              <w:t>2014 год - проект</w:t>
            </w:r>
          </w:p>
        </w:tc>
        <w:tc>
          <w:tcPr>
            <w:tcW w:w="1320" w:type="dxa"/>
            <w:gridSpan w:val="2"/>
            <w:hideMark/>
          </w:tcPr>
          <w:p w:rsidR="000C00E0" w:rsidRPr="007F45FC" w:rsidRDefault="000C00E0" w:rsidP="00DA46B7">
            <w:pPr>
              <w:spacing w:before="100" w:beforeAutospacing="1" w:after="100" w:afterAutospacing="1" w:line="312" w:lineRule="atLeast"/>
              <w:jc w:val="center"/>
              <w:rPr>
                <w:sz w:val="20"/>
                <w:szCs w:val="20"/>
              </w:rPr>
            </w:pPr>
            <w:r w:rsidRPr="007F45FC">
              <w:rPr>
                <w:sz w:val="20"/>
                <w:szCs w:val="20"/>
              </w:rPr>
              <w:t>2015 год - проект</w:t>
            </w:r>
          </w:p>
        </w:tc>
        <w:tc>
          <w:tcPr>
            <w:tcW w:w="1295" w:type="dxa"/>
            <w:gridSpan w:val="2"/>
            <w:hideMark/>
          </w:tcPr>
          <w:p w:rsidR="000C00E0" w:rsidRPr="007F45FC" w:rsidRDefault="000C00E0" w:rsidP="00DA46B7">
            <w:pPr>
              <w:spacing w:before="100" w:beforeAutospacing="1" w:after="100" w:afterAutospacing="1" w:line="312" w:lineRule="atLeast"/>
              <w:jc w:val="center"/>
              <w:rPr>
                <w:sz w:val="20"/>
                <w:szCs w:val="20"/>
              </w:rPr>
            </w:pPr>
            <w:r w:rsidRPr="007F45FC">
              <w:rPr>
                <w:sz w:val="20"/>
                <w:szCs w:val="20"/>
              </w:rPr>
              <w:t>2016 год - проект</w:t>
            </w:r>
          </w:p>
        </w:tc>
      </w:tr>
      <w:tr w:rsidR="007F45FC" w:rsidRPr="007F45FC" w:rsidTr="006D18F5">
        <w:trPr>
          <w:trHeight w:val="452"/>
          <w:tblCellSpacing w:w="0" w:type="dxa"/>
        </w:trPr>
        <w:tc>
          <w:tcPr>
            <w:tcW w:w="0" w:type="auto"/>
            <w:vMerge/>
            <w:vAlign w:val="center"/>
            <w:hideMark/>
          </w:tcPr>
          <w:p w:rsidR="000C00E0" w:rsidRPr="007F45FC" w:rsidRDefault="000C00E0" w:rsidP="00DA46B7"/>
        </w:tc>
        <w:tc>
          <w:tcPr>
            <w:tcW w:w="690"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сумма</w:t>
            </w:r>
          </w:p>
        </w:tc>
        <w:tc>
          <w:tcPr>
            <w:tcW w:w="504"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w:t>
            </w:r>
          </w:p>
        </w:tc>
        <w:tc>
          <w:tcPr>
            <w:tcW w:w="770"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сумма</w:t>
            </w:r>
          </w:p>
        </w:tc>
        <w:tc>
          <w:tcPr>
            <w:tcW w:w="545"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w:t>
            </w:r>
          </w:p>
        </w:tc>
        <w:tc>
          <w:tcPr>
            <w:tcW w:w="761"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сумма</w:t>
            </w:r>
          </w:p>
        </w:tc>
        <w:tc>
          <w:tcPr>
            <w:tcW w:w="535"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w:t>
            </w:r>
          </w:p>
        </w:tc>
        <w:tc>
          <w:tcPr>
            <w:tcW w:w="781"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сумма</w:t>
            </w:r>
          </w:p>
        </w:tc>
        <w:tc>
          <w:tcPr>
            <w:tcW w:w="540"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w:t>
            </w:r>
          </w:p>
        </w:tc>
        <w:tc>
          <w:tcPr>
            <w:tcW w:w="736"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сумма</w:t>
            </w:r>
          </w:p>
        </w:tc>
        <w:tc>
          <w:tcPr>
            <w:tcW w:w="558" w:type="dxa"/>
            <w:hideMark/>
          </w:tcPr>
          <w:p w:rsidR="000C00E0" w:rsidRPr="007F45FC" w:rsidRDefault="000C00E0" w:rsidP="0037632E">
            <w:pPr>
              <w:spacing w:before="100" w:beforeAutospacing="1" w:after="100" w:afterAutospacing="1" w:line="312" w:lineRule="atLeast"/>
              <w:jc w:val="center"/>
              <w:rPr>
                <w:sz w:val="20"/>
                <w:szCs w:val="20"/>
              </w:rPr>
            </w:pPr>
            <w:r w:rsidRPr="007F45FC">
              <w:rPr>
                <w:sz w:val="20"/>
                <w:szCs w:val="20"/>
              </w:rPr>
              <w:t>%</w:t>
            </w:r>
          </w:p>
        </w:tc>
      </w:tr>
      <w:tr w:rsidR="007F45FC" w:rsidRPr="007F45FC" w:rsidTr="006D18F5">
        <w:trPr>
          <w:trHeight w:val="301"/>
          <w:tblCellSpacing w:w="0" w:type="dxa"/>
        </w:trPr>
        <w:tc>
          <w:tcPr>
            <w:tcW w:w="3236" w:type="dxa"/>
            <w:vAlign w:val="center"/>
            <w:hideMark/>
          </w:tcPr>
          <w:p w:rsidR="000C00E0" w:rsidRPr="007F45FC" w:rsidRDefault="000C00E0" w:rsidP="00DA46B7"/>
        </w:tc>
        <w:tc>
          <w:tcPr>
            <w:tcW w:w="690"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1</w:t>
            </w:r>
          </w:p>
        </w:tc>
        <w:tc>
          <w:tcPr>
            <w:tcW w:w="504"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2</w:t>
            </w:r>
          </w:p>
        </w:tc>
        <w:tc>
          <w:tcPr>
            <w:tcW w:w="770"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3</w:t>
            </w:r>
          </w:p>
        </w:tc>
        <w:tc>
          <w:tcPr>
            <w:tcW w:w="545"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4</w:t>
            </w:r>
          </w:p>
        </w:tc>
        <w:tc>
          <w:tcPr>
            <w:tcW w:w="761"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5</w:t>
            </w:r>
          </w:p>
        </w:tc>
        <w:tc>
          <w:tcPr>
            <w:tcW w:w="535"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6</w:t>
            </w:r>
          </w:p>
        </w:tc>
        <w:tc>
          <w:tcPr>
            <w:tcW w:w="781"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7</w:t>
            </w:r>
          </w:p>
        </w:tc>
        <w:tc>
          <w:tcPr>
            <w:tcW w:w="540"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8</w:t>
            </w:r>
          </w:p>
        </w:tc>
        <w:tc>
          <w:tcPr>
            <w:tcW w:w="736"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9</w:t>
            </w:r>
          </w:p>
        </w:tc>
        <w:tc>
          <w:tcPr>
            <w:tcW w:w="558" w:type="dxa"/>
            <w:hideMark/>
          </w:tcPr>
          <w:p w:rsidR="000C00E0" w:rsidRPr="007F45FC" w:rsidRDefault="000C00E0" w:rsidP="00DA46B7">
            <w:pPr>
              <w:spacing w:before="100" w:beforeAutospacing="1" w:after="100" w:afterAutospacing="1" w:line="312" w:lineRule="atLeast"/>
              <w:jc w:val="center"/>
              <w:rPr>
                <w:sz w:val="18"/>
                <w:szCs w:val="18"/>
              </w:rPr>
            </w:pPr>
            <w:r w:rsidRPr="007F45FC">
              <w:rPr>
                <w:bCs/>
                <w:sz w:val="18"/>
                <w:szCs w:val="18"/>
              </w:rPr>
              <w:t>10</w:t>
            </w:r>
          </w:p>
        </w:tc>
      </w:tr>
      <w:tr w:rsidR="00881890" w:rsidRPr="007F45FC" w:rsidTr="006D18F5">
        <w:trPr>
          <w:trHeight w:val="622"/>
          <w:tblCellSpacing w:w="0" w:type="dxa"/>
        </w:trPr>
        <w:tc>
          <w:tcPr>
            <w:tcW w:w="3236" w:type="dxa"/>
          </w:tcPr>
          <w:p w:rsidR="00881890" w:rsidRPr="007F45FC" w:rsidRDefault="00881890" w:rsidP="000C00E0">
            <w:pPr>
              <w:spacing w:before="100" w:beforeAutospacing="1" w:after="100" w:afterAutospacing="1" w:line="312" w:lineRule="atLeast"/>
            </w:pPr>
            <w:r w:rsidRPr="007F45FC">
              <w:t>Общегосударственные вопросы</w:t>
            </w:r>
          </w:p>
        </w:tc>
        <w:tc>
          <w:tcPr>
            <w:tcW w:w="690" w:type="dxa"/>
            <w:vAlign w:val="center"/>
          </w:tcPr>
          <w:p w:rsidR="00881890" w:rsidRDefault="00881890">
            <w:pPr>
              <w:jc w:val="right"/>
              <w:rPr>
                <w:color w:val="000000"/>
                <w:sz w:val="20"/>
                <w:szCs w:val="20"/>
              </w:rPr>
            </w:pPr>
            <w:r>
              <w:rPr>
                <w:color w:val="000000"/>
                <w:sz w:val="20"/>
                <w:szCs w:val="20"/>
              </w:rPr>
              <w:t>905,7</w:t>
            </w:r>
          </w:p>
        </w:tc>
        <w:tc>
          <w:tcPr>
            <w:tcW w:w="504" w:type="dxa"/>
            <w:vAlign w:val="center"/>
          </w:tcPr>
          <w:p w:rsidR="00881890" w:rsidRDefault="00881890">
            <w:pPr>
              <w:jc w:val="right"/>
              <w:rPr>
                <w:color w:val="000000"/>
                <w:sz w:val="20"/>
                <w:szCs w:val="20"/>
              </w:rPr>
            </w:pPr>
            <w:r>
              <w:rPr>
                <w:color w:val="000000"/>
                <w:sz w:val="20"/>
                <w:szCs w:val="20"/>
              </w:rPr>
              <w:t>51,1</w:t>
            </w:r>
          </w:p>
        </w:tc>
        <w:tc>
          <w:tcPr>
            <w:tcW w:w="770" w:type="dxa"/>
            <w:vAlign w:val="center"/>
          </w:tcPr>
          <w:p w:rsidR="00881890" w:rsidRDefault="00881890">
            <w:pPr>
              <w:jc w:val="right"/>
              <w:rPr>
                <w:color w:val="000000"/>
                <w:sz w:val="20"/>
                <w:szCs w:val="20"/>
              </w:rPr>
            </w:pPr>
            <w:r>
              <w:rPr>
                <w:color w:val="000000"/>
                <w:sz w:val="20"/>
                <w:szCs w:val="20"/>
              </w:rPr>
              <w:t>1153,4</w:t>
            </w:r>
          </w:p>
        </w:tc>
        <w:tc>
          <w:tcPr>
            <w:tcW w:w="545" w:type="dxa"/>
            <w:vAlign w:val="center"/>
          </w:tcPr>
          <w:p w:rsidR="00881890" w:rsidRDefault="00881890">
            <w:pPr>
              <w:jc w:val="right"/>
              <w:rPr>
                <w:color w:val="000000"/>
                <w:sz w:val="20"/>
                <w:szCs w:val="20"/>
              </w:rPr>
            </w:pPr>
            <w:r>
              <w:rPr>
                <w:color w:val="000000"/>
                <w:sz w:val="20"/>
                <w:szCs w:val="20"/>
              </w:rPr>
              <w:t>52,9</w:t>
            </w:r>
          </w:p>
        </w:tc>
        <w:tc>
          <w:tcPr>
            <w:tcW w:w="761" w:type="dxa"/>
            <w:vAlign w:val="center"/>
          </w:tcPr>
          <w:p w:rsidR="00881890" w:rsidRDefault="00881890">
            <w:pPr>
              <w:jc w:val="right"/>
              <w:rPr>
                <w:color w:val="000000"/>
                <w:sz w:val="20"/>
                <w:szCs w:val="20"/>
              </w:rPr>
            </w:pPr>
            <w:r>
              <w:rPr>
                <w:color w:val="000000"/>
                <w:sz w:val="20"/>
                <w:szCs w:val="20"/>
              </w:rPr>
              <w:t>993,9</w:t>
            </w:r>
          </w:p>
        </w:tc>
        <w:tc>
          <w:tcPr>
            <w:tcW w:w="535" w:type="dxa"/>
            <w:vAlign w:val="center"/>
          </w:tcPr>
          <w:p w:rsidR="00881890" w:rsidRDefault="00881890">
            <w:pPr>
              <w:jc w:val="right"/>
              <w:rPr>
                <w:color w:val="000000"/>
                <w:sz w:val="20"/>
                <w:szCs w:val="20"/>
              </w:rPr>
            </w:pPr>
            <w:r>
              <w:rPr>
                <w:color w:val="000000"/>
                <w:sz w:val="20"/>
                <w:szCs w:val="20"/>
              </w:rPr>
              <w:t>48,1</w:t>
            </w:r>
          </w:p>
        </w:tc>
        <w:tc>
          <w:tcPr>
            <w:tcW w:w="781" w:type="dxa"/>
            <w:vAlign w:val="center"/>
          </w:tcPr>
          <w:p w:rsidR="00881890" w:rsidRDefault="00881890">
            <w:pPr>
              <w:jc w:val="right"/>
              <w:rPr>
                <w:color w:val="000000"/>
                <w:sz w:val="20"/>
                <w:szCs w:val="20"/>
              </w:rPr>
            </w:pPr>
            <w:r>
              <w:rPr>
                <w:color w:val="000000"/>
                <w:sz w:val="20"/>
                <w:szCs w:val="20"/>
              </w:rPr>
              <w:t>912,6</w:t>
            </w:r>
          </w:p>
        </w:tc>
        <w:tc>
          <w:tcPr>
            <w:tcW w:w="540" w:type="dxa"/>
            <w:vAlign w:val="center"/>
          </w:tcPr>
          <w:p w:rsidR="00881890" w:rsidRDefault="00881890">
            <w:pPr>
              <w:jc w:val="right"/>
              <w:rPr>
                <w:color w:val="000000"/>
                <w:sz w:val="20"/>
                <w:szCs w:val="20"/>
              </w:rPr>
            </w:pPr>
            <w:r>
              <w:rPr>
                <w:color w:val="000000"/>
                <w:sz w:val="20"/>
                <w:szCs w:val="20"/>
              </w:rPr>
              <w:t>45,4</w:t>
            </w:r>
          </w:p>
        </w:tc>
        <w:tc>
          <w:tcPr>
            <w:tcW w:w="736" w:type="dxa"/>
            <w:vAlign w:val="center"/>
          </w:tcPr>
          <w:p w:rsidR="00881890" w:rsidRDefault="00881890">
            <w:pPr>
              <w:jc w:val="right"/>
              <w:rPr>
                <w:color w:val="000000"/>
                <w:sz w:val="20"/>
                <w:szCs w:val="20"/>
              </w:rPr>
            </w:pPr>
            <w:r>
              <w:rPr>
                <w:color w:val="000000"/>
                <w:sz w:val="20"/>
                <w:szCs w:val="20"/>
              </w:rPr>
              <w:t>933,3</w:t>
            </w:r>
          </w:p>
        </w:tc>
        <w:tc>
          <w:tcPr>
            <w:tcW w:w="558" w:type="dxa"/>
            <w:vAlign w:val="center"/>
          </w:tcPr>
          <w:p w:rsidR="00881890" w:rsidRDefault="00881890">
            <w:pPr>
              <w:jc w:val="right"/>
              <w:rPr>
                <w:color w:val="000000"/>
                <w:sz w:val="20"/>
                <w:szCs w:val="20"/>
              </w:rPr>
            </w:pPr>
            <w:r>
              <w:rPr>
                <w:color w:val="000000"/>
                <w:sz w:val="20"/>
                <w:szCs w:val="20"/>
              </w:rPr>
              <w:t>45,4</w:t>
            </w:r>
          </w:p>
        </w:tc>
      </w:tr>
      <w:tr w:rsidR="00881890" w:rsidRPr="007F45FC" w:rsidTr="006D18F5">
        <w:trPr>
          <w:trHeight w:val="321"/>
          <w:tblCellSpacing w:w="0" w:type="dxa"/>
        </w:trPr>
        <w:tc>
          <w:tcPr>
            <w:tcW w:w="3236" w:type="dxa"/>
          </w:tcPr>
          <w:p w:rsidR="00881890" w:rsidRPr="007F45FC" w:rsidRDefault="00881890" w:rsidP="000C00E0">
            <w:pPr>
              <w:spacing w:before="100" w:beforeAutospacing="1" w:after="100" w:afterAutospacing="1" w:line="312" w:lineRule="atLeast"/>
            </w:pPr>
            <w:r w:rsidRPr="007F45FC">
              <w:t>Национальная оборона</w:t>
            </w:r>
          </w:p>
        </w:tc>
        <w:tc>
          <w:tcPr>
            <w:tcW w:w="690" w:type="dxa"/>
            <w:vAlign w:val="center"/>
          </w:tcPr>
          <w:p w:rsidR="00881890" w:rsidRDefault="00881890">
            <w:pPr>
              <w:jc w:val="right"/>
              <w:rPr>
                <w:color w:val="000000"/>
                <w:sz w:val="20"/>
                <w:szCs w:val="20"/>
              </w:rPr>
            </w:pPr>
            <w:r>
              <w:rPr>
                <w:color w:val="000000"/>
                <w:sz w:val="20"/>
                <w:szCs w:val="20"/>
              </w:rPr>
              <w:t>58,2</w:t>
            </w:r>
          </w:p>
        </w:tc>
        <w:tc>
          <w:tcPr>
            <w:tcW w:w="504" w:type="dxa"/>
            <w:vAlign w:val="center"/>
          </w:tcPr>
          <w:p w:rsidR="00881890" w:rsidRDefault="00881890">
            <w:pPr>
              <w:jc w:val="right"/>
              <w:rPr>
                <w:color w:val="000000"/>
                <w:sz w:val="20"/>
                <w:szCs w:val="20"/>
              </w:rPr>
            </w:pPr>
            <w:r>
              <w:rPr>
                <w:color w:val="000000"/>
                <w:sz w:val="20"/>
                <w:szCs w:val="20"/>
              </w:rPr>
              <w:t>3,3</w:t>
            </w:r>
          </w:p>
        </w:tc>
        <w:tc>
          <w:tcPr>
            <w:tcW w:w="770" w:type="dxa"/>
            <w:vAlign w:val="center"/>
          </w:tcPr>
          <w:p w:rsidR="00881890" w:rsidRDefault="00881890">
            <w:pPr>
              <w:jc w:val="right"/>
              <w:rPr>
                <w:color w:val="000000"/>
                <w:sz w:val="20"/>
                <w:szCs w:val="20"/>
              </w:rPr>
            </w:pPr>
            <w:r>
              <w:rPr>
                <w:color w:val="000000"/>
                <w:sz w:val="20"/>
                <w:szCs w:val="20"/>
              </w:rPr>
              <w:t>58,2</w:t>
            </w:r>
          </w:p>
        </w:tc>
        <w:tc>
          <w:tcPr>
            <w:tcW w:w="545" w:type="dxa"/>
            <w:vAlign w:val="center"/>
          </w:tcPr>
          <w:p w:rsidR="00881890" w:rsidRDefault="00881890">
            <w:pPr>
              <w:jc w:val="right"/>
              <w:rPr>
                <w:color w:val="000000"/>
                <w:sz w:val="20"/>
                <w:szCs w:val="20"/>
              </w:rPr>
            </w:pPr>
            <w:r>
              <w:rPr>
                <w:color w:val="000000"/>
                <w:sz w:val="20"/>
                <w:szCs w:val="20"/>
              </w:rPr>
              <w:t>2,7</w:t>
            </w:r>
          </w:p>
        </w:tc>
        <w:tc>
          <w:tcPr>
            <w:tcW w:w="761" w:type="dxa"/>
            <w:vAlign w:val="center"/>
          </w:tcPr>
          <w:p w:rsidR="00881890" w:rsidRDefault="00881890">
            <w:pPr>
              <w:jc w:val="right"/>
              <w:rPr>
                <w:color w:val="000000"/>
                <w:sz w:val="20"/>
                <w:szCs w:val="20"/>
              </w:rPr>
            </w:pPr>
            <w:r>
              <w:rPr>
                <w:color w:val="000000"/>
                <w:sz w:val="20"/>
                <w:szCs w:val="20"/>
              </w:rPr>
              <w:t>78,4</w:t>
            </w:r>
          </w:p>
        </w:tc>
        <w:tc>
          <w:tcPr>
            <w:tcW w:w="535" w:type="dxa"/>
            <w:vAlign w:val="center"/>
          </w:tcPr>
          <w:p w:rsidR="00881890" w:rsidRDefault="00881890">
            <w:pPr>
              <w:jc w:val="right"/>
              <w:rPr>
                <w:color w:val="000000"/>
                <w:sz w:val="20"/>
                <w:szCs w:val="20"/>
              </w:rPr>
            </w:pPr>
            <w:r>
              <w:rPr>
                <w:color w:val="000000"/>
                <w:sz w:val="20"/>
                <w:szCs w:val="20"/>
              </w:rPr>
              <w:t>3,8</w:t>
            </w:r>
          </w:p>
        </w:tc>
        <w:tc>
          <w:tcPr>
            <w:tcW w:w="781" w:type="dxa"/>
            <w:vAlign w:val="center"/>
          </w:tcPr>
          <w:p w:rsidR="00881890" w:rsidRDefault="00881890">
            <w:pPr>
              <w:jc w:val="right"/>
              <w:rPr>
                <w:color w:val="000000"/>
                <w:sz w:val="20"/>
                <w:szCs w:val="20"/>
              </w:rPr>
            </w:pPr>
            <w:r>
              <w:rPr>
                <w:color w:val="000000"/>
                <w:sz w:val="20"/>
                <w:szCs w:val="20"/>
              </w:rPr>
              <w:t>78,3</w:t>
            </w:r>
          </w:p>
        </w:tc>
        <w:tc>
          <w:tcPr>
            <w:tcW w:w="540" w:type="dxa"/>
            <w:vAlign w:val="center"/>
          </w:tcPr>
          <w:p w:rsidR="00881890" w:rsidRDefault="00881890">
            <w:pPr>
              <w:jc w:val="right"/>
              <w:rPr>
                <w:color w:val="000000"/>
                <w:sz w:val="20"/>
                <w:szCs w:val="20"/>
              </w:rPr>
            </w:pPr>
            <w:r>
              <w:rPr>
                <w:color w:val="000000"/>
                <w:sz w:val="20"/>
                <w:szCs w:val="20"/>
              </w:rPr>
              <w:t>3,9</w:t>
            </w:r>
          </w:p>
        </w:tc>
        <w:tc>
          <w:tcPr>
            <w:tcW w:w="736" w:type="dxa"/>
            <w:vAlign w:val="center"/>
          </w:tcPr>
          <w:p w:rsidR="00881890" w:rsidRDefault="00881890">
            <w:pPr>
              <w:jc w:val="right"/>
              <w:rPr>
                <w:color w:val="000000"/>
                <w:sz w:val="20"/>
                <w:szCs w:val="20"/>
              </w:rPr>
            </w:pPr>
            <w:r>
              <w:rPr>
                <w:color w:val="000000"/>
                <w:sz w:val="20"/>
                <w:szCs w:val="20"/>
              </w:rPr>
              <w:t>78,3</w:t>
            </w:r>
          </w:p>
        </w:tc>
        <w:tc>
          <w:tcPr>
            <w:tcW w:w="558" w:type="dxa"/>
            <w:vAlign w:val="center"/>
          </w:tcPr>
          <w:p w:rsidR="00881890" w:rsidRDefault="00881890">
            <w:pPr>
              <w:jc w:val="right"/>
              <w:rPr>
                <w:color w:val="000000"/>
                <w:sz w:val="20"/>
                <w:szCs w:val="20"/>
              </w:rPr>
            </w:pPr>
            <w:r>
              <w:rPr>
                <w:color w:val="000000"/>
                <w:sz w:val="20"/>
                <w:szCs w:val="20"/>
              </w:rPr>
              <w:t>3,8</w:t>
            </w:r>
          </w:p>
        </w:tc>
      </w:tr>
      <w:tr w:rsidR="00881890" w:rsidRPr="007F45FC" w:rsidTr="006D18F5">
        <w:trPr>
          <w:trHeight w:val="622"/>
          <w:tblCellSpacing w:w="0" w:type="dxa"/>
        </w:trPr>
        <w:tc>
          <w:tcPr>
            <w:tcW w:w="3236" w:type="dxa"/>
            <w:hideMark/>
          </w:tcPr>
          <w:p w:rsidR="00881890" w:rsidRPr="007F45FC" w:rsidRDefault="00881890" w:rsidP="000C00E0">
            <w:pPr>
              <w:spacing w:before="100" w:beforeAutospacing="1" w:after="100" w:afterAutospacing="1" w:line="312" w:lineRule="atLeast"/>
            </w:pPr>
            <w:r w:rsidRPr="007F45FC">
              <w:t>Жилищно-коммунальное хозяйство</w:t>
            </w:r>
          </w:p>
        </w:tc>
        <w:tc>
          <w:tcPr>
            <w:tcW w:w="690" w:type="dxa"/>
            <w:vAlign w:val="center"/>
            <w:hideMark/>
          </w:tcPr>
          <w:p w:rsidR="00881890" w:rsidRDefault="00881890">
            <w:pPr>
              <w:jc w:val="right"/>
              <w:rPr>
                <w:color w:val="000000"/>
                <w:sz w:val="20"/>
                <w:szCs w:val="20"/>
              </w:rPr>
            </w:pPr>
            <w:r>
              <w:rPr>
                <w:color w:val="000000"/>
                <w:sz w:val="20"/>
                <w:szCs w:val="20"/>
              </w:rPr>
              <w:t>315,0</w:t>
            </w:r>
          </w:p>
        </w:tc>
        <w:tc>
          <w:tcPr>
            <w:tcW w:w="504" w:type="dxa"/>
            <w:vAlign w:val="center"/>
            <w:hideMark/>
          </w:tcPr>
          <w:p w:rsidR="00881890" w:rsidRDefault="00881890">
            <w:pPr>
              <w:jc w:val="right"/>
              <w:rPr>
                <w:color w:val="000000"/>
                <w:sz w:val="20"/>
                <w:szCs w:val="20"/>
              </w:rPr>
            </w:pPr>
            <w:r>
              <w:rPr>
                <w:color w:val="000000"/>
                <w:sz w:val="20"/>
                <w:szCs w:val="20"/>
              </w:rPr>
              <w:t>17,8</w:t>
            </w:r>
          </w:p>
        </w:tc>
        <w:tc>
          <w:tcPr>
            <w:tcW w:w="770" w:type="dxa"/>
            <w:vAlign w:val="center"/>
            <w:hideMark/>
          </w:tcPr>
          <w:p w:rsidR="00881890" w:rsidRDefault="00881890">
            <w:pPr>
              <w:jc w:val="right"/>
              <w:rPr>
                <w:color w:val="000000"/>
                <w:sz w:val="20"/>
                <w:szCs w:val="20"/>
              </w:rPr>
            </w:pPr>
            <w:r>
              <w:rPr>
                <w:color w:val="000000"/>
                <w:sz w:val="20"/>
                <w:szCs w:val="20"/>
              </w:rPr>
              <w:t>430,4</w:t>
            </w:r>
          </w:p>
        </w:tc>
        <w:tc>
          <w:tcPr>
            <w:tcW w:w="545" w:type="dxa"/>
            <w:vAlign w:val="center"/>
            <w:hideMark/>
          </w:tcPr>
          <w:p w:rsidR="00881890" w:rsidRDefault="00881890">
            <w:pPr>
              <w:jc w:val="right"/>
              <w:rPr>
                <w:color w:val="000000"/>
                <w:sz w:val="20"/>
                <w:szCs w:val="20"/>
              </w:rPr>
            </w:pPr>
            <w:r>
              <w:rPr>
                <w:color w:val="000000"/>
                <w:sz w:val="20"/>
                <w:szCs w:val="20"/>
              </w:rPr>
              <w:t>19,7</w:t>
            </w:r>
          </w:p>
        </w:tc>
        <w:tc>
          <w:tcPr>
            <w:tcW w:w="761" w:type="dxa"/>
            <w:vAlign w:val="center"/>
            <w:hideMark/>
          </w:tcPr>
          <w:p w:rsidR="00881890" w:rsidRDefault="00881890">
            <w:pPr>
              <w:jc w:val="right"/>
              <w:rPr>
                <w:color w:val="000000"/>
                <w:sz w:val="20"/>
                <w:szCs w:val="20"/>
              </w:rPr>
            </w:pPr>
            <w:r>
              <w:rPr>
                <w:color w:val="000000"/>
                <w:sz w:val="20"/>
                <w:szCs w:val="20"/>
              </w:rPr>
              <w:t>445,0</w:t>
            </w:r>
          </w:p>
        </w:tc>
        <w:tc>
          <w:tcPr>
            <w:tcW w:w="535" w:type="dxa"/>
            <w:vAlign w:val="center"/>
            <w:hideMark/>
          </w:tcPr>
          <w:p w:rsidR="00881890" w:rsidRDefault="00881890">
            <w:pPr>
              <w:jc w:val="right"/>
              <w:rPr>
                <w:color w:val="000000"/>
                <w:sz w:val="20"/>
                <w:szCs w:val="20"/>
              </w:rPr>
            </w:pPr>
            <w:r>
              <w:rPr>
                <w:color w:val="000000"/>
                <w:sz w:val="20"/>
                <w:szCs w:val="20"/>
              </w:rPr>
              <w:t>21,5</w:t>
            </w:r>
          </w:p>
        </w:tc>
        <w:tc>
          <w:tcPr>
            <w:tcW w:w="781" w:type="dxa"/>
            <w:vAlign w:val="center"/>
            <w:hideMark/>
          </w:tcPr>
          <w:p w:rsidR="00881890" w:rsidRDefault="00881890">
            <w:pPr>
              <w:jc w:val="right"/>
              <w:rPr>
                <w:color w:val="000000"/>
                <w:sz w:val="20"/>
                <w:szCs w:val="20"/>
              </w:rPr>
            </w:pPr>
            <w:r>
              <w:rPr>
                <w:color w:val="000000"/>
                <w:sz w:val="20"/>
                <w:szCs w:val="20"/>
              </w:rPr>
              <w:t>433,9</w:t>
            </w:r>
          </w:p>
        </w:tc>
        <w:tc>
          <w:tcPr>
            <w:tcW w:w="540" w:type="dxa"/>
            <w:vAlign w:val="center"/>
            <w:hideMark/>
          </w:tcPr>
          <w:p w:rsidR="00881890" w:rsidRDefault="00881890">
            <w:pPr>
              <w:jc w:val="right"/>
              <w:rPr>
                <w:color w:val="000000"/>
                <w:sz w:val="20"/>
                <w:szCs w:val="20"/>
              </w:rPr>
            </w:pPr>
            <w:r>
              <w:rPr>
                <w:color w:val="000000"/>
                <w:sz w:val="20"/>
                <w:szCs w:val="20"/>
              </w:rPr>
              <w:t>21,6</w:t>
            </w:r>
          </w:p>
        </w:tc>
        <w:tc>
          <w:tcPr>
            <w:tcW w:w="736" w:type="dxa"/>
            <w:vAlign w:val="center"/>
            <w:hideMark/>
          </w:tcPr>
          <w:p w:rsidR="00881890" w:rsidRDefault="00881890">
            <w:pPr>
              <w:jc w:val="right"/>
              <w:rPr>
                <w:color w:val="000000"/>
                <w:sz w:val="20"/>
                <w:szCs w:val="20"/>
              </w:rPr>
            </w:pPr>
            <w:r>
              <w:rPr>
                <w:color w:val="000000"/>
                <w:sz w:val="20"/>
                <w:szCs w:val="20"/>
              </w:rPr>
              <w:t>422,8</w:t>
            </w:r>
          </w:p>
        </w:tc>
        <w:tc>
          <w:tcPr>
            <w:tcW w:w="558" w:type="dxa"/>
            <w:vAlign w:val="center"/>
            <w:hideMark/>
          </w:tcPr>
          <w:p w:rsidR="00881890" w:rsidRDefault="00881890">
            <w:pPr>
              <w:jc w:val="right"/>
              <w:rPr>
                <w:color w:val="000000"/>
                <w:sz w:val="20"/>
                <w:szCs w:val="20"/>
              </w:rPr>
            </w:pPr>
            <w:r>
              <w:rPr>
                <w:color w:val="000000"/>
                <w:sz w:val="20"/>
                <w:szCs w:val="20"/>
              </w:rPr>
              <w:t>20,6</w:t>
            </w:r>
          </w:p>
        </w:tc>
      </w:tr>
      <w:tr w:rsidR="00881890" w:rsidRPr="007F45FC" w:rsidTr="006D18F5">
        <w:trPr>
          <w:trHeight w:val="321"/>
          <w:tblCellSpacing w:w="0" w:type="dxa"/>
        </w:trPr>
        <w:tc>
          <w:tcPr>
            <w:tcW w:w="3236" w:type="dxa"/>
            <w:hideMark/>
          </w:tcPr>
          <w:p w:rsidR="00881890" w:rsidRPr="007F45FC" w:rsidRDefault="00881890" w:rsidP="000C00E0">
            <w:pPr>
              <w:spacing w:before="100" w:beforeAutospacing="1" w:after="100" w:afterAutospacing="1" w:line="312" w:lineRule="atLeast"/>
            </w:pPr>
            <w:r w:rsidRPr="007F45FC">
              <w:t>Культура, кинематография</w:t>
            </w:r>
          </w:p>
        </w:tc>
        <w:tc>
          <w:tcPr>
            <w:tcW w:w="690" w:type="dxa"/>
            <w:vAlign w:val="center"/>
            <w:hideMark/>
          </w:tcPr>
          <w:p w:rsidR="00881890" w:rsidRDefault="00881890">
            <w:pPr>
              <w:jc w:val="right"/>
              <w:rPr>
                <w:color w:val="000000"/>
                <w:sz w:val="20"/>
                <w:szCs w:val="20"/>
              </w:rPr>
            </w:pPr>
            <w:r>
              <w:rPr>
                <w:color w:val="000000"/>
                <w:sz w:val="20"/>
                <w:szCs w:val="20"/>
              </w:rPr>
              <w:t>494,1</w:t>
            </w:r>
          </w:p>
        </w:tc>
        <w:tc>
          <w:tcPr>
            <w:tcW w:w="504" w:type="dxa"/>
            <w:vAlign w:val="center"/>
            <w:hideMark/>
          </w:tcPr>
          <w:p w:rsidR="00881890" w:rsidRDefault="00881890">
            <w:pPr>
              <w:jc w:val="right"/>
              <w:rPr>
                <w:color w:val="000000"/>
                <w:sz w:val="20"/>
                <w:szCs w:val="20"/>
              </w:rPr>
            </w:pPr>
            <w:r>
              <w:rPr>
                <w:color w:val="000000"/>
                <w:sz w:val="20"/>
                <w:szCs w:val="20"/>
              </w:rPr>
              <w:t>27,9</w:t>
            </w:r>
          </w:p>
        </w:tc>
        <w:tc>
          <w:tcPr>
            <w:tcW w:w="770" w:type="dxa"/>
            <w:vAlign w:val="center"/>
            <w:hideMark/>
          </w:tcPr>
          <w:p w:rsidR="00881890" w:rsidRDefault="00881890">
            <w:pPr>
              <w:jc w:val="right"/>
              <w:rPr>
                <w:color w:val="000000"/>
                <w:sz w:val="20"/>
                <w:szCs w:val="20"/>
              </w:rPr>
            </w:pPr>
            <w:r>
              <w:rPr>
                <w:color w:val="000000"/>
                <w:sz w:val="20"/>
                <w:szCs w:val="20"/>
              </w:rPr>
              <w:t>538,2</w:t>
            </w:r>
          </w:p>
        </w:tc>
        <w:tc>
          <w:tcPr>
            <w:tcW w:w="545" w:type="dxa"/>
            <w:vAlign w:val="center"/>
            <w:hideMark/>
          </w:tcPr>
          <w:p w:rsidR="00881890" w:rsidRDefault="00881890">
            <w:pPr>
              <w:jc w:val="right"/>
              <w:rPr>
                <w:color w:val="000000"/>
                <w:sz w:val="20"/>
                <w:szCs w:val="20"/>
              </w:rPr>
            </w:pPr>
            <w:r>
              <w:rPr>
                <w:color w:val="000000"/>
                <w:sz w:val="20"/>
                <w:szCs w:val="20"/>
              </w:rPr>
              <w:t>24,7</w:t>
            </w:r>
          </w:p>
        </w:tc>
        <w:tc>
          <w:tcPr>
            <w:tcW w:w="761" w:type="dxa"/>
            <w:vAlign w:val="center"/>
            <w:hideMark/>
          </w:tcPr>
          <w:p w:rsidR="00881890" w:rsidRDefault="00881890">
            <w:pPr>
              <w:jc w:val="right"/>
              <w:rPr>
                <w:color w:val="000000"/>
                <w:sz w:val="20"/>
                <w:szCs w:val="20"/>
              </w:rPr>
            </w:pPr>
            <w:r>
              <w:rPr>
                <w:color w:val="000000"/>
                <w:sz w:val="20"/>
                <w:szCs w:val="20"/>
              </w:rPr>
              <w:t>544,6</w:t>
            </w:r>
          </w:p>
        </w:tc>
        <w:tc>
          <w:tcPr>
            <w:tcW w:w="535" w:type="dxa"/>
            <w:vAlign w:val="center"/>
            <w:hideMark/>
          </w:tcPr>
          <w:p w:rsidR="00881890" w:rsidRDefault="00881890">
            <w:pPr>
              <w:jc w:val="right"/>
              <w:rPr>
                <w:color w:val="000000"/>
                <w:sz w:val="20"/>
                <w:szCs w:val="20"/>
              </w:rPr>
            </w:pPr>
            <w:r>
              <w:rPr>
                <w:color w:val="000000"/>
                <w:sz w:val="20"/>
                <w:szCs w:val="20"/>
              </w:rPr>
              <w:t>26,3</w:t>
            </w:r>
          </w:p>
        </w:tc>
        <w:tc>
          <w:tcPr>
            <w:tcW w:w="781" w:type="dxa"/>
            <w:vAlign w:val="center"/>
            <w:hideMark/>
          </w:tcPr>
          <w:p w:rsidR="00881890" w:rsidRDefault="00881890">
            <w:pPr>
              <w:jc w:val="right"/>
              <w:rPr>
                <w:color w:val="000000"/>
                <w:sz w:val="20"/>
                <w:szCs w:val="20"/>
              </w:rPr>
            </w:pPr>
            <w:r>
              <w:rPr>
                <w:color w:val="000000"/>
                <w:sz w:val="20"/>
                <w:szCs w:val="20"/>
              </w:rPr>
              <w:t>540,1</w:t>
            </w:r>
          </w:p>
        </w:tc>
        <w:tc>
          <w:tcPr>
            <w:tcW w:w="540" w:type="dxa"/>
            <w:vAlign w:val="center"/>
            <w:hideMark/>
          </w:tcPr>
          <w:p w:rsidR="00881890" w:rsidRDefault="00881890">
            <w:pPr>
              <w:jc w:val="right"/>
              <w:rPr>
                <w:color w:val="000000"/>
                <w:sz w:val="20"/>
                <w:szCs w:val="20"/>
              </w:rPr>
            </w:pPr>
            <w:r>
              <w:rPr>
                <w:color w:val="000000"/>
                <w:sz w:val="20"/>
                <w:szCs w:val="20"/>
              </w:rPr>
              <w:t>26,9</w:t>
            </w:r>
          </w:p>
        </w:tc>
        <w:tc>
          <w:tcPr>
            <w:tcW w:w="736" w:type="dxa"/>
            <w:vAlign w:val="center"/>
            <w:hideMark/>
          </w:tcPr>
          <w:p w:rsidR="00881890" w:rsidRDefault="00881890">
            <w:pPr>
              <w:jc w:val="right"/>
              <w:rPr>
                <w:color w:val="000000"/>
                <w:sz w:val="20"/>
                <w:szCs w:val="20"/>
              </w:rPr>
            </w:pPr>
            <w:r>
              <w:rPr>
                <w:color w:val="000000"/>
                <w:sz w:val="20"/>
                <w:szCs w:val="20"/>
              </w:rPr>
              <w:t>517,4</w:t>
            </w:r>
          </w:p>
        </w:tc>
        <w:tc>
          <w:tcPr>
            <w:tcW w:w="558" w:type="dxa"/>
            <w:vAlign w:val="center"/>
            <w:hideMark/>
          </w:tcPr>
          <w:p w:rsidR="00881890" w:rsidRDefault="00881890">
            <w:pPr>
              <w:jc w:val="right"/>
              <w:rPr>
                <w:color w:val="000000"/>
                <w:sz w:val="20"/>
                <w:szCs w:val="20"/>
              </w:rPr>
            </w:pPr>
            <w:r>
              <w:rPr>
                <w:color w:val="000000"/>
                <w:sz w:val="20"/>
                <w:szCs w:val="20"/>
              </w:rPr>
              <w:t>25,2</w:t>
            </w:r>
          </w:p>
        </w:tc>
      </w:tr>
      <w:tr w:rsidR="00881890" w:rsidRPr="007F45FC" w:rsidTr="006D18F5">
        <w:trPr>
          <w:trHeight w:val="301"/>
          <w:tblCellSpacing w:w="0" w:type="dxa"/>
        </w:trPr>
        <w:tc>
          <w:tcPr>
            <w:tcW w:w="3236" w:type="dxa"/>
          </w:tcPr>
          <w:p w:rsidR="00881890" w:rsidRPr="007F45FC" w:rsidRDefault="00881890" w:rsidP="00DA46B7">
            <w:pPr>
              <w:spacing w:before="100" w:beforeAutospacing="1" w:after="100" w:afterAutospacing="1" w:line="312" w:lineRule="atLeast"/>
            </w:pPr>
            <w:r w:rsidRPr="007F45FC">
              <w:t>Межбюджетные трансферты</w:t>
            </w:r>
          </w:p>
        </w:tc>
        <w:tc>
          <w:tcPr>
            <w:tcW w:w="690" w:type="dxa"/>
            <w:vAlign w:val="center"/>
          </w:tcPr>
          <w:p w:rsidR="00881890" w:rsidRDefault="00881890">
            <w:pPr>
              <w:jc w:val="right"/>
              <w:rPr>
                <w:color w:val="000000"/>
                <w:sz w:val="20"/>
                <w:szCs w:val="20"/>
              </w:rPr>
            </w:pPr>
            <w:r>
              <w:rPr>
                <w:color w:val="000000"/>
                <w:sz w:val="20"/>
                <w:szCs w:val="20"/>
              </w:rPr>
              <w:t>0</w:t>
            </w:r>
          </w:p>
        </w:tc>
        <w:tc>
          <w:tcPr>
            <w:tcW w:w="504" w:type="dxa"/>
            <w:vAlign w:val="center"/>
          </w:tcPr>
          <w:p w:rsidR="00881890" w:rsidRDefault="00881890" w:rsidP="00881890">
            <w:pPr>
              <w:jc w:val="right"/>
              <w:rPr>
                <w:color w:val="000000"/>
                <w:sz w:val="20"/>
                <w:szCs w:val="20"/>
              </w:rPr>
            </w:pPr>
            <w:r>
              <w:rPr>
                <w:color w:val="000000"/>
                <w:sz w:val="20"/>
                <w:szCs w:val="20"/>
              </w:rPr>
              <w:t>0</w:t>
            </w:r>
          </w:p>
        </w:tc>
        <w:tc>
          <w:tcPr>
            <w:tcW w:w="770" w:type="dxa"/>
            <w:vAlign w:val="center"/>
          </w:tcPr>
          <w:p w:rsidR="00881890" w:rsidRDefault="00881890" w:rsidP="00881890">
            <w:pPr>
              <w:jc w:val="right"/>
              <w:rPr>
                <w:color w:val="000000"/>
                <w:sz w:val="20"/>
                <w:szCs w:val="20"/>
              </w:rPr>
            </w:pPr>
            <w:r>
              <w:rPr>
                <w:color w:val="000000"/>
                <w:sz w:val="20"/>
                <w:szCs w:val="20"/>
              </w:rPr>
              <w:t> 0</w:t>
            </w:r>
          </w:p>
        </w:tc>
        <w:tc>
          <w:tcPr>
            <w:tcW w:w="545" w:type="dxa"/>
            <w:vAlign w:val="center"/>
          </w:tcPr>
          <w:p w:rsidR="00881890" w:rsidRDefault="00881890" w:rsidP="00881890">
            <w:pPr>
              <w:jc w:val="right"/>
              <w:rPr>
                <w:color w:val="000000"/>
                <w:sz w:val="20"/>
                <w:szCs w:val="20"/>
              </w:rPr>
            </w:pPr>
            <w:r>
              <w:rPr>
                <w:color w:val="000000"/>
                <w:sz w:val="20"/>
                <w:szCs w:val="20"/>
              </w:rPr>
              <w:t>0</w:t>
            </w:r>
          </w:p>
        </w:tc>
        <w:tc>
          <w:tcPr>
            <w:tcW w:w="761" w:type="dxa"/>
            <w:vAlign w:val="center"/>
          </w:tcPr>
          <w:p w:rsidR="00881890" w:rsidRDefault="00881890" w:rsidP="00881890">
            <w:pPr>
              <w:jc w:val="right"/>
              <w:rPr>
                <w:color w:val="000000"/>
                <w:sz w:val="20"/>
                <w:szCs w:val="20"/>
              </w:rPr>
            </w:pPr>
            <w:r>
              <w:rPr>
                <w:color w:val="000000"/>
                <w:sz w:val="20"/>
                <w:szCs w:val="20"/>
              </w:rPr>
              <w:t>6,5</w:t>
            </w:r>
          </w:p>
        </w:tc>
        <w:tc>
          <w:tcPr>
            <w:tcW w:w="535" w:type="dxa"/>
            <w:vAlign w:val="center"/>
          </w:tcPr>
          <w:p w:rsidR="00881890" w:rsidRDefault="00881890" w:rsidP="00881890">
            <w:pPr>
              <w:jc w:val="right"/>
              <w:rPr>
                <w:color w:val="000000"/>
                <w:sz w:val="20"/>
                <w:szCs w:val="20"/>
              </w:rPr>
            </w:pPr>
            <w:r>
              <w:rPr>
                <w:color w:val="000000"/>
                <w:sz w:val="20"/>
                <w:szCs w:val="20"/>
              </w:rPr>
              <w:t>0,3</w:t>
            </w:r>
          </w:p>
        </w:tc>
        <w:tc>
          <w:tcPr>
            <w:tcW w:w="781" w:type="dxa"/>
            <w:vAlign w:val="center"/>
          </w:tcPr>
          <w:p w:rsidR="00881890" w:rsidRDefault="00881890" w:rsidP="00881890">
            <w:pPr>
              <w:jc w:val="right"/>
              <w:rPr>
                <w:color w:val="000000"/>
                <w:sz w:val="20"/>
                <w:szCs w:val="20"/>
              </w:rPr>
            </w:pPr>
            <w:r>
              <w:rPr>
                <w:color w:val="000000"/>
                <w:sz w:val="20"/>
                <w:szCs w:val="20"/>
              </w:rPr>
              <w:t>6,3</w:t>
            </w:r>
          </w:p>
        </w:tc>
        <w:tc>
          <w:tcPr>
            <w:tcW w:w="540" w:type="dxa"/>
            <w:vAlign w:val="center"/>
          </w:tcPr>
          <w:p w:rsidR="00881890" w:rsidRDefault="00881890" w:rsidP="00881890">
            <w:pPr>
              <w:jc w:val="right"/>
              <w:rPr>
                <w:color w:val="000000"/>
                <w:sz w:val="20"/>
                <w:szCs w:val="20"/>
              </w:rPr>
            </w:pPr>
            <w:r>
              <w:rPr>
                <w:color w:val="000000"/>
                <w:sz w:val="20"/>
                <w:szCs w:val="20"/>
              </w:rPr>
              <w:t>0,3</w:t>
            </w:r>
          </w:p>
        </w:tc>
        <w:tc>
          <w:tcPr>
            <w:tcW w:w="736" w:type="dxa"/>
            <w:vAlign w:val="center"/>
          </w:tcPr>
          <w:p w:rsidR="00881890" w:rsidRDefault="00881890" w:rsidP="00881890">
            <w:pPr>
              <w:jc w:val="right"/>
              <w:rPr>
                <w:color w:val="000000"/>
                <w:sz w:val="20"/>
                <w:szCs w:val="20"/>
              </w:rPr>
            </w:pPr>
            <w:r>
              <w:rPr>
                <w:color w:val="000000"/>
                <w:sz w:val="20"/>
                <w:szCs w:val="20"/>
              </w:rPr>
              <w:t>6,2</w:t>
            </w:r>
          </w:p>
        </w:tc>
        <w:tc>
          <w:tcPr>
            <w:tcW w:w="558" w:type="dxa"/>
            <w:vAlign w:val="center"/>
          </w:tcPr>
          <w:p w:rsidR="00881890" w:rsidRDefault="00881890">
            <w:pPr>
              <w:jc w:val="right"/>
              <w:rPr>
                <w:color w:val="000000"/>
                <w:sz w:val="20"/>
                <w:szCs w:val="20"/>
              </w:rPr>
            </w:pPr>
            <w:r>
              <w:rPr>
                <w:color w:val="000000"/>
                <w:sz w:val="20"/>
                <w:szCs w:val="20"/>
              </w:rPr>
              <w:t>0,3</w:t>
            </w:r>
          </w:p>
        </w:tc>
      </w:tr>
      <w:tr w:rsidR="00881890" w:rsidRPr="007F45FC" w:rsidTr="006D18F5">
        <w:trPr>
          <w:trHeight w:val="643"/>
          <w:tblCellSpacing w:w="0" w:type="dxa"/>
        </w:trPr>
        <w:tc>
          <w:tcPr>
            <w:tcW w:w="3236" w:type="dxa"/>
            <w:hideMark/>
          </w:tcPr>
          <w:p w:rsidR="00881890" w:rsidRPr="007F45FC" w:rsidRDefault="00881890" w:rsidP="00DA46B7">
            <w:pPr>
              <w:spacing w:before="100" w:beforeAutospacing="1" w:after="100" w:afterAutospacing="1" w:line="312" w:lineRule="atLeast"/>
            </w:pPr>
            <w:r w:rsidRPr="007F45FC">
              <w:t>Условно-утвержденные расходы</w:t>
            </w:r>
          </w:p>
        </w:tc>
        <w:tc>
          <w:tcPr>
            <w:tcW w:w="690" w:type="dxa"/>
            <w:vAlign w:val="center"/>
            <w:hideMark/>
          </w:tcPr>
          <w:p w:rsidR="00881890" w:rsidRDefault="00881890">
            <w:pPr>
              <w:jc w:val="right"/>
              <w:rPr>
                <w:color w:val="000000"/>
                <w:sz w:val="20"/>
                <w:szCs w:val="20"/>
              </w:rPr>
            </w:pPr>
            <w:r>
              <w:rPr>
                <w:color w:val="000000"/>
                <w:sz w:val="20"/>
                <w:szCs w:val="20"/>
              </w:rPr>
              <w:t>0</w:t>
            </w:r>
          </w:p>
        </w:tc>
        <w:tc>
          <w:tcPr>
            <w:tcW w:w="504" w:type="dxa"/>
            <w:vAlign w:val="center"/>
            <w:hideMark/>
          </w:tcPr>
          <w:p w:rsidR="00881890" w:rsidRDefault="00881890" w:rsidP="00881890">
            <w:pPr>
              <w:jc w:val="right"/>
              <w:rPr>
                <w:color w:val="000000"/>
                <w:sz w:val="20"/>
                <w:szCs w:val="20"/>
              </w:rPr>
            </w:pPr>
            <w:r>
              <w:rPr>
                <w:color w:val="000000"/>
                <w:sz w:val="20"/>
                <w:szCs w:val="20"/>
              </w:rPr>
              <w:t>0</w:t>
            </w:r>
          </w:p>
        </w:tc>
        <w:tc>
          <w:tcPr>
            <w:tcW w:w="770" w:type="dxa"/>
            <w:vAlign w:val="center"/>
            <w:hideMark/>
          </w:tcPr>
          <w:p w:rsidR="00881890" w:rsidRDefault="00881890" w:rsidP="00881890">
            <w:pPr>
              <w:jc w:val="right"/>
              <w:rPr>
                <w:color w:val="000000"/>
                <w:sz w:val="20"/>
                <w:szCs w:val="20"/>
              </w:rPr>
            </w:pPr>
            <w:r>
              <w:rPr>
                <w:color w:val="000000"/>
                <w:sz w:val="20"/>
                <w:szCs w:val="20"/>
              </w:rPr>
              <w:t> 0</w:t>
            </w:r>
          </w:p>
        </w:tc>
        <w:tc>
          <w:tcPr>
            <w:tcW w:w="545" w:type="dxa"/>
            <w:vAlign w:val="center"/>
            <w:hideMark/>
          </w:tcPr>
          <w:p w:rsidR="00881890" w:rsidRDefault="00881890" w:rsidP="00881890">
            <w:pPr>
              <w:jc w:val="right"/>
              <w:rPr>
                <w:color w:val="000000"/>
                <w:sz w:val="20"/>
                <w:szCs w:val="20"/>
              </w:rPr>
            </w:pPr>
            <w:r>
              <w:rPr>
                <w:color w:val="000000"/>
                <w:sz w:val="20"/>
                <w:szCs w:val="20"/>
              </w:rPr>
              <w:t>0</w:t>
            </w:r>
          </w:p>
        </w:tc>
        <w:tc>
          <w:tcPr>
            <w:tcW w:w="761" w:type="dxa"/>
            <w:vAlign w:val="center"/>
            <w:hideMark/>
          </w:tcPr>
          <w:p w:rsidR="00881890" w:rsidRDefault="00881890" w:rsidP="00881890">
            <w:pPr>
              <w:jc w:val="right"/>
              <w:rPr>
                <w:color w:val="000000"/>
                <w:sz w:val="20"/>
                <w:szCs w:val="20"/>
              </w:rPr>
            </w:pPr>
            <w:r>
              <w:rPr>
                <w:color w:val="000000"/>
                <w:sz w:val="20"/>
                <w:szCs w:val="20"/>
              </w:rPr>
              <w:t> </w:t>
            </w:r>
          </w:p>
        </w:tc>
        <w:tc>
          <w:tcPr>
            <w:tcW w:w="535" w:type="dxa"/>
            <w:vAlign w:val="center"/>
            <w:hideMark/>
          </w:tcPr>
          <w:p w:rsidR="00881890" w:rsidRDefault="00881890" w:rsidP="00881890">
            <w:pPr>
              <w:jc w:val="right"/>
              <w:rPr>
                <w:color w:val="000000"/>
                <w:sz w:val="20"/>
                <w:szCs w:val="20"/>
              </w:rPr>
            </w:pPr>
            <w:r>
              <w:rPr>
                <w:color w:val="000000"/>
                <w:sz w:val="20"/>
                <w:szCs w:val="20"/>
              </w:rPr>
              <w:t>0</w:t>
            </w:r>
          </w:p>
        </w:tc>
        <w:tc>
          <w:tcPr>
            <w:tcW w:w="781" w:type="dxa"/>
            <w:vAlign w:val="center"/>
            <w:hideMark/>
          </w:tcPr>
          <w:p w:rsidR="00881890" w:rsidRDefault="00881890" w:rsidP="00881890">
            <w:pPr>
              <w:jc w:val="right"/>
              <w:rPr>
                <w:color w:val="000000"/>
                <w:sz w:val="20"/>
                <w:szCs w:val="20"/>
              </w:rPr>
            </w:pPr>
            <w:r>
              <w:rPr>
                <w:color w:val="000000"/>
                <w:sz w:val="20"/>
                <w:szCs w:val="20"/>
              </w:rPr>
              <w:t>39,3</w:t>
            </w:r>
          </w:p>
        </w:tc>
        <w:tc>
          <w:tcPr>
            <w:tcW w:w="540" w:type="dxa"/>
            <w:vAlign w:val="center"/>
            <w:hideMark/>
          </w:tcPr>
          <w:p w:rsidR="00881890" w:rsidRDefault="00881890" w:rsidP="00881890">
            <w:pPr>
              <w:jc w:val="right"/>
              <w:rPr>
                <w:color w:val="000000"/>
                <w:sz w:val="20"/>
                <w:szCs w:val="20"/>
              </w:rPr>
            </w:pPr>
            <w:r>
              <w:rPr>
                <w:color w:val="000000"/>
                <w:sz w:val="20"/>
                <w:szCs w:val="20"/>
              </w:rPr>
              <w:t>2,0</w:t>
            </w:r>
          </w:p>
        </w:tc>
        <w:tc>
          <w:tcPr>
            <w:tcW w:w="736" w:type="dxa"/>
            <w:vAlign w:val="center"/>
            <w:hideMark/>
          </w:tcPr>
          <w:p w:rsidR="00881890" w:rsidRDefault="00881890" w:rsidP="00881890">
            <w:pPr>
              <w:jc w:val="right"/>
              <w:rPr>
                <w:color w:val="000000"/>
                <w:sz w:val="20"/>
                <w:szCs w:val="20"/>
              </w:rPr>
            </w:pPr>
            <w:r>
              <w:rPr>
                <w:color w:val="000000"/>
                <w:sz w:val="20"/>
                <w:szCs w:val="20"/>
              </w:rPr>
              <w:t>98,2</w:t>
            </w:r>
          </w:p>
        </w:tc>
        <w:tc>
          <w:tcPr>
            <w:tcW w:w="558" w:type="dxa"/>
            <w:vAlign w:val="center"/>
            <w:hideMark/>
          </w:tcPr>
          <w:p w:rsidR="00881890" w:rsidRDefault="00881890">
            <w:pPr>
              <w:jc w:val="right"/>
              <w:rPr>
                <w:color w:val="000000"/>
                <w:sz w:val="20"/>
                <w:szCs w:val="20"/>
              </w:rPr>
            </w:pPr>
            <w:r>
              <w:rPr>
                <w:color w:val="000000"/>
                <w:sz w:val="20"/>
                <w:szCs w:val="20"/>
              </w:rPr>
              <w:t>4,8</w:t>
            </w:r>
          </w:p>
        </w:tc>
      </w:tr>
      <w:tr w:rsidR="007F45FC" w:rsidRPr="007F45FC" w:rsidTr="006D18F5">
        <w:trPr>
          <w:trHeight w:val="301"/>
          <w:tblCellSpacing w:w="0" w:type="dxa"/>
        </w:trPr>
        <w:tc>
          <w:tcPr>
            <w:tcW w:w="3236" w:type="dxa"/>
            <w:hideMark/>
          </w:tcPr>
          <w:p w:rsidR="0037632E" w:rsidRPr="007F45FC" w:rsidRDefault="0037632E" w:rsidP="000C00E0">
            <w:pPr>
              <w:spacing w:before="100" w:beforeAutospacing="1" w:after="100" w:afterAutospacing="1" w:line="312" w:lineRule="atLeast"/>
              <w:rPr>
                <w:b/>
              </w:rPr>
            </w:pPr>
            <w:r w:rsidRPr="007F45FC">
              <w:rPr>
                <w:b/>
              </w:rPr>
              <w:t>ВСЕГО РАСХОДОВ</w:t>
            </w:r>
          </w:p>
        </w:tc>
        <w:tc>
          <w:tcPr>
            <w:tcW w:w="690" w:type="dxa"/>
            <w:vAlign w:val="center"/>
            <w:hideMark/>
          </w:tcPr>
          <w:p w:rsidR="0037632E" w:rsidRPr="007F45FC" w:rsidRDefault="00881890" w:rsidP="00A1364F">
            <w:pPr>
              <w:jc w:val="right"/>
              <w:rPr>
                <w:b/>
                <w:sz w:val="20"/>
                <w:szCs w:val="20"/>
              </w:rPr>
            </w:pPr>
            <w:r>
              <w:rPr>
                <w:b/>
                <w:sz w:val="20"/>
                <w:szCs w:val="20"/>
              </w:rPr>
              <w:t>1773,0</w:t>
            </w:r>
          </w:p>
        </w:tc>
        <w:tc>
          <w:tcPr>
            <w:tcW w:w="504" w:type="dxa"/>
            <w:vAlign w:val="center"/>
            <w:hideMark/>
          </w:tcPr>
          <w:p w:rsidR="0037632E" w:rsidRPr="007F45FC" w:rsidRDefault="0037632E" w:rsidP="00A1364F">
            <w:pPr>
              <w:jc w:val="right"/>
              <w:rPr>
                <w:b/>
                <w:sz w:val="20"/>
                <w:szCs w:val="20"/>
              </w:rPr>
            </w:pPr>
            <w:r w:rsidRPr="007F45FC">
              <w:rPr>
                <w:b/>
                <w:sz w:val="20"/>
                <w:szCs w:val="20"/>
              </w:rPr>
              <w:t>100,0</w:t>
            </w:r>
          </w:p>
        </w:tc>
        <w:tc>
          <w:tcPr>
            <w:tcW w:w="770" w:type="dxa"/>
            <w:vAlign w:val="center"/>
            <w:hideMark/>
          </w:tcPr>
          <w:p w:rsidR="0037632E" w:rsidRPr="007F45FC" w:rsidRDefault="00881890" w:rsidP="00A1364F">
            <w:pPr>
              <w:jc w:val="right"/>
              <w:rPr>
                <w:b/>
                <w:sz w:val="20"/>
                <w:szCs w:val="20"/>
              </w:rPr>
            </w:pPr>
            <w:r>
              <w:rPr>
                <w:b/>
                <w:sz w:val="20"/>
                <w:szCs w:val="20"/>
              </w:rPr>
              <w:t>2180,2</w:t>
            </w:r>
          </w:p>
        </w:tc>
        <w:tc>
          <w:tcPr>
            <w:tcW w:w="545" w:type="dxa"/>
            <w:vAlign w:val="center"/>
            <w:hideMark/>
          </w:tcPr>
          <w:p w:rsidR="0037632E" w:rsidRPr="007F45FC" w:rsidRDefault="0037632E" w:rsidP="00A1364F">
            <w:pPr>
              <w:jc w:val="right"/>
              <w:rPr>
                <w:b/>
                <w:sz w:val="20"/>
                <w:szCs w:val="20"/>
              </w:rPr>
            </w:pPr>
            <w:r w:rsidRPr="007F45FC">
              <w:rPr>
                <w:b/>
                <w:sz w:val="20"/>
                <w:szCs w:val="20"/>
              </w:rPr>
              <w:t>100,0</w:t>
            </w:r>
          </w:p>
        </w:tc>
        <w:tc>
          <w:tcPr>
            <w:tcW w:w="761" w:type="dxa"/>
            <w:vAlign w:val="center"/>
            <w:hideMark/>
          </w:tcPr>
          <w:p w:rsidR="0037632E" w:rsidRPr="007F45FC" w:rsidRDefault="00BA4792" w:rsidP="00A1364F">
            <w:pPr>
              <w:jc w:val="right"/>
              <w:rPr>
                <w:b/>
                <w:sz w:val="20"/>
                <w:szCs w:val="20"/>
              </w:rPr>
            </w:pPr>
            <w:r>
              <w:rPr>
                <w:b/>
                <w:sz w:val="20"/>
                <w:szCs w:val="20"/>
              </w:rPr>
              <w:t>2068,4</w:t>
            </w:r>
          </w:p>
        </w:tc>
        <w:tc>
          <w:tcPr>
            <w:tcW w:w="535" w:type="dxa"/>
            <w:vAlign w:val="center"/>
            <w:hideMark/>
          </w:tcPr>
          <w:p w:rsidR="0037632E" w:rsidRPr="007F45FC" w:rsidRDefault="0037632E" w:rsidP="00A1364F">
            <w:pPr>
              <w:jc w:val="right"/>
              <w:rPr>
                <w:b/>
                <w:sz w:val="20"/>
                <w:szCs w:val="20"/>
              </w:rPr>
            </w:pPr>
            <w:r w:rsidRPr="007F45FC">
              <w:rPr>
                <w:b/>
                <w:sz w:val="20"/>
                <w:szCs w:val="20"/>
              </w:rPr>
              <w:t>100,0</w:t>
            </w:r>
          </w:p>
        </w:tc>
        <w:tc>
          <w:tcPr>
            <w:tcW w:w="781" w:type="dxa"/>
            <w:vAlign w:val="center"/>
            <w:hideMark/>
          </w:tcPr>
          <w:p w:rsidR="0037632E" w:rsidRPr="007F45FC" w:rsidRDefault="00BA4792" w:rsidP="00A1364F">
            <w:pPr>
              <w:jc w:val="right"/>
              <w:rPr>
                <w:b/>
                <w:sz w:val="20"/>
                <w:szCs w:val="20"/>
              </w:rPr>
            </w:pPr>
            <w:r>
              <w:rPr>
                <w:b/>
                <w:sz w:val="20"/>
                <w:szCs w:val="20"/>
              </w:rPr>
              <w:t>2010,5</w:t>
            </w:r>
          </w:p>
        </w:tc>
        <w:tc>
          <w:tcPr>
            <w:tcW w:w="540" w:type="dxa"/>
            <w:vAlign w:val="center"/>
            <w:hideMark/>
          </w:tcPr>
          <w:p w:rsidR="0037632E" w:rsidRPr="007F45FC" w:rsidRDefault="0037632E" w:rsidP="00A1364F">
            <w:pPr>
              <w:jc w:val="right"/>
              <w:rPr>
                <w:b/>
                <w:sz w:val="20"/>
                <w:szCs w:val="20"/>
              </w:rPr>
            </w:pPr>
            <w:r w:rsidRPr="007F45FC">
              <w:rPr>
                <w:b/>
                <w:sz w:val="20"/>
                <w:szCs w:val="20"/>
              </w:rPr>
              <w:t>100,0</w:t>
            </w:r>
          </w:p>
        </w:tc>
        <w:tc>
          <w:tcPr>
            <w:tcW w:w="736" w:type="dxa"/>
            <w:vAlign w:val="center"/>
            <w:hideMark/>
          </w:tcPr>
          <w:p w:rsidR="0037632E" w:rsidRPr="007F45FC" w:rsidRDefault="00BA4792" w:rsidP="00A1364F">
            <w:pPr>
              <w:jc w:val="right"/>
              <w:rPr>
                <w:b/>
                <w:sz w:val="20"/>
                <w:szCs w:val="20"/>
              </w:rPr>
            </w:pPr>
            <w:r>
              <w:rPr>
                <w:b/>
                <w:sz w:val="20"/>
                <w:szCs w:val="20"/>
              </w:rPr>
              <w:t>2056,2</w:t>
            </w:r>
          </w:p>
        </w:tc>
        <w:tc>
          <w:tcPr>
            <w:tcW w:w="558" w:type="dxa"/>
            <w:vAlign w:val="center"/>
            <w:hideMark/>
          </w:tcPr>
          <w:p w:rsidR="0037632E" w:rsidRPr="007F45FC" w:rsidRDefault="0037632E" w:rsidP="00A1364F">
            <w:pPr>
              <w:jc w:val="right"/>
              <w:rPr>
                <w:b/>
                <w:sz w:val="20"/>
                <w:szCs w:val="20"/>
              </w:rPr>
            </w:pPr>
            <w:r w:rsidRPr="007F45FC">
              <w:rPr>
                <w:b/>
                <w:sz w:val="20"/>
                <w:szCs w:val="20"/>
              </w:rPr>
              <w:t>100,0</w:t>
            </w:r>
          </w:p>
        </w:tc>
      </w:tr>
    </w:tbl>
    <w:p w:rsidR="00B01B78" w:rsidRPr="007F45FC" w:rsidRDefault="00B01B78" w:rsidP="00415141">
      <w:pPr>
        <w:spacing w:line="276" w:lineRule="auto"/>
        <w:ind w:left="-180" w:firstLine="540"/>
        <w:jc w:val="both"/>
        <w:rPr>
          <w:sz w:val="28"/>
          <w:szCs w:val="28"/>
        </w:rPr>
      </w:pPr>
    </w:p>
    <w:p w:rsidR="00415141" w:rsidRPr="007F45FC" w:rsidRDefault="000A6C9E" w:rsidP="00415141">
      <w:pPr>
        <w:spacing w:line="276" w:lineRule="auto"/>
        <w:ind w:left="-180" w:firstLine="540"/>
        <w:jc w:val="both"/>
        <w:rPr>
          <w:sz w:val="28"/>
          <w:szCs w:val="28"/>
        </w:rPr>
      </w:pPr>
      <w:r>
        <w:rPr>
          <w:sz w:val="28"/>
          <w:szCs w:val="28"/>
        </w:rPr>
        <w:t>Динамика расходов бюджета сельского поселения на 2012 - 2013 годы и плановый 2014 год  представлена в таблице 6.</w:t>
      </w:r>
    </w:p>
    <w:p w:rsidR="00415141" w:rsidRPr="00B26318" w:rsidRDefault="00415141" w:rsidP="00415141">
      <w:pPr>
        <w:ind w:firstLine="540"/>
        <w:jc w:val="right"/>
        <w:rPr>
          <w:sz w:val="28"/>
          <w:szCs w:val="28"/>
        </w:rPr>
      </w:pPr>
      <w:r w:rsidRPr="007F45FC">
        <w:rPr>
          <w:sz w:val="28"/>
          <w:szCs w:val="28"/>
        </w:rPr>
        <w:t>Таблица</w:t>
      </w:r>
      <w:r w:rsidRPr="00B26318">
        <w:rPr>
          <w:sz w:val="28"/>
          <w:szCs w:val="28"/>
        </w:rPr>
        <w:t xml:space="preserve"> </w:t>
      </w:r>
      <w:r w:rsidR="00B01B78" w:rsidRPr="00B26318">
        <w:rPr>
          <w:sz w:val="28"/>
          <w:szCs w:val="28"/>
        </w:rPr>
        <w:t>6</w:t>
      </w:r>
      <w:r w:rsidRPr="00B26318">
        <w:rPr>
          <w:sz w:val="28"/>
          <w:szCs w:val="28"/>
        </w:rPr>
        <w:t xml:space="preserve">  (тыс. руб.)</w:t>
      </w:r>
    </w:p>
    <w:tbl>
      <w:tblPr>
        <w:tblW w:w="9995" w:type="dxa"/>
        <w:tblInd w:w="-106" w:type="dxa"/>
        <w:tblLayout w:type="fixed"/>
        <w:tblLook w:val="0000" w:firstRow="0" w:lastRow="0" w:firstColumn="0" w:lastColumn="0" w:noHBand="0" w:noVBand="0"/>
      </w:tblPr>
      <w:tblGrid>
        <w:gridCol w:w="1915"/>
        <w:gridCol w:w="939"/>
        <w:gridCol w:w="1080"/>
        <w:gridCol w:w="958"/>
        <w:gridCol w:w="851"/>
        <w:gridCol w:w="1134"/>
        <w:gridCol w:w="850"/>
        <w:gridCol w:w="1134"/>
        <w:gridCol w:w="1134"/>
      </w:tblGrid>
      <w:tr w:rsidR="00B26318" w:rsidRPr="00B26318" w:rsidTr="00B01B78">
        <w:trPr>
          <w:trHeight w:val="255"/>
        </w:trPr>
        <w:tc>
          <w:tcPr>
            <w:tcW w:w="1915" w:type="dxa"/>
            <w:vMerge w:val="restart"/>
            <w:tcBorders>
              <w:top w:val="single" w:sz="4" w:space="0" w:color="auto"/>
              <w:left w:val="single" w:sz="4" w:space="0" w:color="auto"/>
              <w:bottom w:val="single" w:sz="4" w:space="0" w:color="auto"/>
              <w:right w:val="single" w:sz="4" w:space="0" w:color="auto"/>
            </w:tcBorders>
          </w:tcPr>
          <w:p w:rsidR="00415141" w:rsidRPr="00B26318" w:rsidRDefault="00415141" w:rsidP="00FD0E35">
            <w:pPr>
              <w:jc w:val="both"/>
              <w:rPr>
                <w:b/>
                <w:bCs/>
                <w:sz w:val="20"/>
                <w:szCs w:val="20"/>
              </w:rPr>
            </w:pPr>
            <w:r w:rsidRPr="00B26318">
              <w:rPr>
                <w:b/>
                <w:bCs/>
                <w:sz w:val="20"/>
                <w:szCs w:val="20"/>
              </w:rPr>
              <w:t>Наименование показателя</w:t>
            </w:r>
          </w:p>
        </w:tc>
        <w:tc>
          <w:tcPr>
            <w:tcW w:w="939" w:type="dxa"/>
            <w:vMerge w:val="restart"/>
            <w:tcBorders>
              <w:top w:val="single" w:sz="4" w:space="0" w:color="auto"/>
              <w:left w:val="single" w:sz="4" w:space="0" w:color="auto"/>
              <w:bottom w:val="single" w:sz="4" w:space="0" w:color="auto"/>
              <w:right w:val="single" w:sz="4" w:space="0" w:color="auto"/>
            </w:tcBorders>
          </w:tcPr>
          <w:p w:rsidR="00415141" w:rsidRPr="00B26318" w:rsidRDefault="00415141" w:rsidP="00FD0E35">
            <w:pPr>
              <w:jc w:val="center"/>
              <w:rPr>
                <w:b/>
                <w:bCs/>
                <w:sz w:val="22"/>
                <w:szCs w:val="22"/>
              </w:rPr>
            </w:pPr>
            <w:r w:rsidRPr="00B26318">
              <w:rPr>
                <w:b/>
                <w:bCs/>
                <w:sz w:val="22"/>
                <w:szCs w:val="22"/>
              </w:rPr>
              <w:t>2012 год</w:t>
            </w:r>
          </w:p>
        </w:tc>
        <w:tc>
          <w:tcPr>
            <w:tcW w:w="4023" w:type="dxa"/>
            <w:gridSpan w:val="4"/>
            <w:vMerge w:val="restart"/>
            <w:tcBorders>
              <w:top w:val="single" w:sz="4" w:space="0" w:color="auto"/>
              <w:left w:val="single" w:sz="4" w:space="0" w:color="auto"/>
              <w:bottom w:val="single" w:sz="4" w:space="0" w:color="auto"/>
              <w:right w:val="single" w:sz="4" w:space="0" w:color="auto"/>
            </w:tcBorders>
          </w:tcPr>
          <w:p w:rsidR="00415141" w:rsidRPr="00B26318" w:rsidRDefault="00415141" w:rsidP="00FD0E35">
            <w:pPr>
              <w:jc w:val="center"/>
              <w:rPr>
                <w:b/>
                <w:bCs/>
                <w:sz w:val="22"/>
                <w:szCs w:val="22"/>
              </w:rPr>
            </w:pPr>
            <w:r w:rsidRPr="00B26318">
              <w:rPr>
                <w:b/>
                <w:bCs/>
                <w:sz w:val="22"/>
                <w:szCs w:val="22"/>
              </w:rPr>
              <w:t>2013 год</w:t>
            </w:r>
          </w:p>
        </w:tc>
        <w:tc>
          <w:tcPr>
            <w:tcW w:w="3118" w:type="dxa"/>
            <w:gridSpan w:val="3"/>
            <w:vMerge w:val="restart"/>
            <w:tcBorders>
              <w:top w:val="single" w:sz="4" w:space="0" w:color="auto"/>
              <w:left w:val="single" w:sz="4" w:space="0" w:color="auto"/>
              <w:bottom w:val="single" w:sz="4" w:space="0" w:color="auto"/>
              <w:right w:val="single" w:sz="4" w:space="0" w:color="auto"/>
            </w:tcBorders>
          </w:tcPr>
          <w:p w:rsidR="00415141" w:rsidRPr="00B26318" w:rsidRDefault="00415141" w:rsidP="00FD0E35">
            <w:pPr>
              <w:jc w:val="center"/>
              <w:rPr>
                <w:b/>
                <w:bCs/>
                <w:sz w:val="22"/>
                <w:szCs w:val="22"/>
              </w:rPr>
            </w:pPr>
            <w:r w:rsidRPr="00B26318">
              <w:rPr>
                <w:b/>
                <w:bCs/>
                <w:sz w:val="22"/>
                <w:szCs w:val="22"/>
              </w:rPr>
              <w:t>2014 год</w:t>
            </w:r>
          </w:p>
        </w:tc>
      </w:tr>
      <w:tr w:rsidR="00B26318" w:rsidRPr="00B26318" w:rsidTr="00B01B78">
        <w:trPr>
          <w:trHeight w:val="255"/>
        </w:trPr>
        <w:tc>
          <w:tcPr>
            <w:tcW w:w="1915" w:type="dxa"/>
            <w:vMerge/>
            <w:tcBorders>
              <w:top w:val="single" w:sz="4" w:space="0" w:color="auto"/>
              <w:left w:val="single" w:sz="4" w:space="0" w:color="auto"/>
              <w:bottom w:val="single" w:sz="4" w:space="0" w:color="auto"/>
              <w:right w:val="single" w:sz="4" w:space="0" w:color="auto"/>
            </w:tcBorders>
            <w:vAlign w:val="center"/>
          </w:tcPr>
          <w:p w:rsidR="00415141" w:rsidRPr="00B26318" w:rsidRDefault="00415141" w:rsidP="00FD0E35">
            <w:pPr>
              <w:rPr>
                <w:b/>
                <w:bCs/>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415141" w:rsidRPr="00B26318" w:rsidRDefault="00415141" w:rsidP="00FD0E35">
            <w:pPr>
              <w:rPr>
                <w:b/>
                <w:bCs/>
                <w:sz w:val="20"/>
                <w:szCs w:val="20"/>
              </w:rPr>
            </w:pPr>
          </w:p>
        </w:tc>
        <w:tc>
          <w:tcPr>
            <w:tcW w:w="4023" w:type="dxa"/>
            <w:gridSpan w:val="4"/>
            <w:vMerge/>
            <w:tcBorders>
              <w:top w:val="single" w:sz="4" w:space="0" w:color="auto"/>
              <w:left w:val="single" w:sz="4" w:space="0" w:color="auto"/>
              <w:bottom w:val="single" w:sz="4" w:space="0" w:color="auto"/>
              <w:right w:val="single" w:sz="4" w:space="0" w:color="auto"/>
            </w:tcBorders>
            <w:vAlign w:val="center"/>
          </w:tcPr>
          <w:p w:rsidR="00415141" w:rsidRPr="00B26318" w:rsidRDefault="00415141" w:rsidP="00FD0E35">
            <w:pPr>
              <w:rPr>
                <w:b/>
                <w:bCs/>
                <w:sz w:val="20"/>
                <w:szCs w:val="20"/>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tcPr>
          <w:p w:rsidR="00415141" w:rsidRPr="00B26318" w:rsidRDefault="00415141" w:rsidP="00FD0E35">
            <w:pPr>
              <w:rPr>
                <w:b/>
                <w:bCs/>
                <w:sz w:val="20"/>
                <w:szCs w:val="20"/>
              </w:rPr>
            </w:pPr>
          </w:p>
        </w:tc>
      </w:tr>
      <w:tr w:rsidR="00B26318" w:rsidRPr="00B26318" w:rsidTr="00B01B78">
        <w:trPr>
          <w:cantSplit/>
          <w:trHeight w:val="1244"/>
        </w:trPr>
        <w:tc>
          <w:tcPr>
            <w:tcW w:w="1915" w:type="dxa"/>
            <w:vMerge/>
            <w:tcBorders>
              <w:top w:val="single" w:sz="4" w:space="0" w:color="auto"/>
              <w:left w:val="single" w:sz="4" w:space="0" w:color="auto"/>
              <w:bottom w:val="single" w:sz="4" w:space="0" w:color="auto"/>
              <w:right w:val="single" w:sz="4" w:space="0" w:color="auto"/>
            </w:tcBorders>
            <w:vAlign w:val="center"/>
          </w:tcPr>
          <w:p w:rsidR="00415141" w:rsidRPr="00B26318" w:rsidRDefault="00415141" w:rsidP="00FD0E35">
            <w:pPr>
              <w:rPr>
                <w:b/>
                <w:bCs/>
                <w:sz w:val="20"/>
                <w:szCs w:val="20"/>
              </w:rPr>
            </w:pPr>
          </w:p>
        </w:tc>
        <w:tc>
          <w:tcPr>
            <w:tcW w:w="939"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факт</w:t>
            </w:r>
          </w:p>
        </w:tc>
        <w:tc>
          <w:tcPr>
            <w:tcW w:w="1080"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утвержденный план</w:t>
            </w:r>
          </w:p>
        </w:tc>
        <w:tc>
          <w:tcPr>
            <w:tcW w:w="958"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Прогнозный план</w:t>
            </w:r>
          </w:p>
        </w:tc>
        <w:tc>
          <w:tcPr>
            <w:tcW w:w="851"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Темп роста (</w:t>
            </w:r>
            <w:proofErr w:type="gramStart"/>
            <w:r w:rsidRPr="00B26318">
              <w:rPr>
                <w:b/>
                <w:bCs/>
                <w:sz w:val="18"/>
                <w:szCs w:val="18"/>
              </w:rPr>
              <w:t>в</w:t>
            </w:r>
            <w:proofErr w:type="gramEnd"/>
            <w:r w:rsidRPr="00B26318">
              <w:rPr>
                <w:b/>
                <w:bCs/>
                <w:sz w:val="18"/>
                <w:szCs w:val="18"/>
              </w:rPr>
              <w:t xml:space="preserve"> %)  к  факту</w:t>
            </w:r>
          </w:p>
          <w:p w:rsidR="00415141" w:rsidRPr="00B26318" w:rsidRDefault="00415141" w:rsidP="00FD0E35">
            <w:pPr>
              <w:ind w:left="-108" w:right="-20"/>
              <w:jc w:val="center"/>
              <w:rPr>
                <w:b/>
                <w:bCs/>
                <w:sz w:val="18"/>
                <w:szCs w:val="18"/>
              </w:rPr>
            </w:pPr>
            <w:r w:rsidRPr="00B26318">
              <w:rPr>
                <w:b/>
                <w:bCs/>
                <w:sz w:val="18"/>
                <w:szCs w:val="18"/>
              </w:rPr>
              <w:t>2012 года</w:t>
            </w:r>
          </w:p>
        </w:tc>
        <w:tc>
          <w:tcPr>
            <w:tcW w:w="1134"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Темп роста (</w:t>
            </w:r>
            <w:proofErr w:type="gramStart"/>
            <w:r w:rsidRPr="00B26318">
              <w:rPr>
                <w:b/>
                <w:bCs/>
                <w:sz w:val="18"/>
                <w:szCs w:val="18"/>
              </w:rPr>
              <w:t>в</w:t>
            </w:r>
            <w:proofErr w:type="gramEnd"/>
            <w:r w:rsidRPr="00B26318">
              <w:rPr>
                <w:b/>
                <w:bCs/>
                <w:sz w:val="18"/>
                <w:szCs w:val="18"/>
              </w:rPr>
              <w:t xml:space="preserve"> %)  к  плановым показателям</w:t>
            </w:r>
          </w:p>
          <w:p w:rsidR="00415141" w:rsidRPr="00B26318" w:rsidRDefault="00415141" w:rsidP="00FD0E35">
            <w:pPr>
              <w:ind w:left="-108" w:right="-20"/>
              <w:jc w:val="center"/>
              <w:rPr>
                <w:b/>
                <w:bCs/>
                <w:sz w:val="18"/>
                <w:szCs w:val="18"/>
              </w:rPr>
            </w:pPr>
            <w:r w:rsidRPr="00B26318">
              <w:rPr>
                <w:b/>
                <w:bCs/>
                <w:sz w:val="18"/>
                <w:szCs w:val="18"/>
              </w:rPr>
              <w:t>2013 года</w:t>
            </w:r>
          </w:p>
        </w:tc>
        <w:tc>
          <w:tcPr>
            <w:tcW w:w="850"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прогноз</w:t>
            </w:r>
          </w:p>
        </w:tc>
        <w:tc>
          <w:tcPr>
            <w:tcW w:w="1134"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Темп роста (</w:t>
            </w:r>
            <w:proofErr w:type="gramStart"/>
            <w:r w:rsidRPr="00B26318">
              <w:rPr>
                <w:b/>
                <w:bCs/>
                <w:sz w:val="18"/>
                <w:szCs w:val="18"/>
              </w:rPr>
              <w:t>в</w:t>
            </w:r>
            <w:proofErr w:type="gramEnd"/>
            <w:r w:rsidRPr="00B26318">
              <w:rPr>
                <w:b/>
                <w:bCs/>
                <w:sz w:val="18"/>
                <w:szCs w:val="18"/>
              </w:rPr>
              <w:t xml:space="preserve"> %)  к  плановым показателям</w:t>
            </w:r>
          </w:p>
          <w:p w:rsidR="00415141" w:rsidRPr="00B26318" w:rsidRDefault="00415141" w:rsidP="00FD0E35">
            <w:pPr>
              <w:ind w:left="-108" w:right="-20"/>
              <w:jc w:val="center"/>
              <w:rPr>
                <w:b/>
                <w:bCs/>
                <w:sz w:val="18"/>
                <w:szCs w:val="18"/>
              </w:rPr>
            </w:pPr>
            <w:r w:rsidRPr="00B26318">
              <w:rPr>
                <w:b/>
                <w:bCs/>
                <w:sz w:val="18"/>
                <w:szCs w:val="18"/>
              </w:rPr>
              <w:t>2013 года</w:t>
            </w:r>
          </w:p>
        </w:tc>
        <w:tc>
          <w:tcPr>
            <w:tcW w:w="1134" w:type="dxa"/>
            <w:tcBorders>
              <w:top w:val="nil"/>
              <w:left w:val="nil"/>
              <w:bottom w:val="single" w:sz="4" w:space="0" w:color="auto"/>
              <w:right w:val="single" w:sz="4" w:space="0" w:color="auto"/>
            </w:tcBorders>
          </w:tcPr>
          <w:p w:rsidR="00415141" w:rsidRPr="00B26318" w:rsidRDefault="00415141" w:rsidP="00FD0E35">
            <w:pPr>
              <w:ind w:left="-108" w:right="-20"/>
              <w:jc w:val="center"/>
              <w:rPr>
                <w:b/>
                <w:bCs/>
                <w:sz w:val="18"/>
                <w:szCs w:val="18"/>
              </w:rPr>
            </w:pPr>
            <w:r w:rsidRPr="00B26318">
              <w:rPr>
                <w:b/>
                <w:bCs/>
                <w:sz w:val="18"/>
                <w:szCs w:val="18"/>
              </w:rPr>
              <w:t>Темп роста (</w:t>
            </w:r>
            <w:proofErr w:type="gramStart"/>
            <w:r w:rsidRPr="00B26318">
              <w:rPr>
                <w:b/>
                <w:bCs/>
                <w:sz w:val="18"/>
                <w:szCs w:val="18"/>
              </w:rPr>
              <w:t>в</w:t>
            </w:r>
            <w:proofErr w:type="gramEnd"/>
            <w:r w:rsidRPr="00B26318">
              <w:rPr>
                <w:b/>
                <w:bCs/>
                <w:sz w:val="18"/>
                <w:szCs w:val="18"/>
              </w:rPr>
              <w:t xml:space="preserve"> %) к уточненным  показателям</w:t>
            </w:r>
          </w:p>
          <w:p w:rsidR="00415141" w:rsidRPr="00B26318" w:rsidRDefault="00415141" w:rsidP="00FD0E35">
            <w:pPr>
              <w:ind w:left="-108" w:right="-20"/>
              <w:jc w:val="center"/>
              <w:rPr>
                <w:b/>
                <w:bCs/>
                <w:sz w:val="18"/>
                <w:szCs w:val="18"/>
              </w:rPr>
            </w:pPr>
            <w:r w:rsidRPr="00B26318">
              <w:rPr>
                <w:b/>
                <w:bCs/>
                <w:sz w:val="18"/>
                <w:szCs w:val="18"/>
              </w:rPr>
              <w:t>2013 года</w:t>
            </w:r>
          </w:p>
        </w:tc>
      </w:tr>
      <w:tr w:rsidR="00B26318" w:rsidRPr="00B26318" w:rsidTr="00B01B78">
        <w:trPr>
          <w:trHeight w:val="188"/>
        </w:trPr>
        <w:tc>
          <w:tcPr>
            <w:tcW w:w="1915" w:type="dxa"/>
            <w:tcBorders>
              <w:top w:val="nil"/>
              <w:left w:val="single" w:sz="4" w:space="0" w:color="auto"/>
              <w:bottom w:val="single" w:sz="4" w:space="0" w:color="auto"/>
              <w:right w:val="single" w:sz="4" w:space="0" w:color="auto"/>
            </w:tcBorders>
          </w:tcPr>
          <w:p w:rsidR="00415141" w:rsidRPr="00B26318" w:rsidRDefault="00415141" w:rsidP="00DA46B7">
            <w:pPr>
              <w:jc w:val="center"/>
              <w:rPr>
                <w:sz w:val="20"/>
                <w:szCs w:val="20"/>
              </w:rPr>
            </w:pPr>
            <w:r w:rsidRPr="00B26318">
              <w:rPr>
                <w:sz w:val="20"/>
                <w:szCs w:val="20"/>
              </w:rPr>
              <w:t>1</w:t>
            </w:r>
          </w:p>
        </w:tc>
        <w:tc>
          <w:tcPr>
            <w:tcW w:w="939" w:type="dxa"/>
            <w:tcBorders>
              <w:top w:val="nil"/>
              <w:left w:val="nil"/>
              <w:bottom w:val="single" w:sz="4" w:space="0" w:color="auto"/>
              <w:right w:val="single" w:sz="4" w:space="0" w:color="auto"/>
            </w:tcBorders>
          </w:tcPr>
          <w:p w:rsidR="00415141" w:rsidRPr="00B26318" w:rsidRDefault="00415141" w:rsidP="00DA46B7">
            <w:pPr>
              <w:jc w:val="center"/>
              <w:rPr>
                <w:sz w:val="20"/>
                <w:szCs w:val="20"/>
              </w:rPr>
            </w:pPr>
            <w:r w:rsidRPr="00B26318">
              <w:rPr>
                <w:sz w:val="20"/>
                <w:szCs w:val="20"/>
              </w:rPr>
              <w:t>2</w:t>
            </w:r>
          </w:p>
        </w:tc>
        <w:tc>
          <w:tcPr>
            <w:tcW w:w="1080" w:type="dxa"/>
            <w:tcBorders>
              <w:top w:val="nil"/>
              <w:left w:val="nil"/>
              <w:bottom w:val="single" w:sz="4" w:space="0" w:color="auto"/>
              <w:right w:val="single" w:sz="4" w:space="0" w:color="auto"/>
            </w:tcBorders>
          </w:tcPr>
          <w:p w:rsidR="00415141" w:rsidRPr="00B26318" w:rsidRDefault="00415141" w:rsidP="00DA46B7">
            <w:pPr>
              <w:jc w:val="center"/>
              <w:rPr>
                <w:sz w:val="20"/>
                <w:szCs w:val="20"/>
              </w:rPr>
            </w:pPr>
            <w:r w:rsidRPr="00B26318">
              <w:rPr>
                <w:sz w:val="20"/>
                <w:szCs w:val="20"/>
              </w:rPr>
              <w:t>3</w:t>
            </w:r>
          </w:p>
        </w:tc>
        <w:tc>
          <w:tcPr>
            <w:tcW w:w="958" w:type="dxa"/>
            <w:tcBorders>
              <w:top w:val="nil"/>
              <w:left w:val="nil"/>
              <w:bottom w:val="single" w:sz="4" w:space="0" w:color="auto"/>
              <w:right w:val="single" w:sz="4" w:space="0" w:color="auto"/>
            </w:tcBorders>
          </w:tcPr>
          <w:p w:rsidR="00415141" w:rsidRPr="00B26318" w:rsidRDefault="00415141" w:rsidP="00DA46B7">
            <w:pPr>
              <w:jc w:val="center"/>
              <w:rPr>
                <w:sz w:val="20"/>
                <w:szCs w:val="20"/>
              </w:rPr>
            </w:pPr>
            <w:r w:rsidRPr="00B26318">
              <w:rPr>
                <w:sz w:val="20"/>
                <w:szCs w:val="20"/>
              </w:rPr>
              <w:t>4</w:t>
            </w:r>
          </w:p>
        </w:tc>
        <w:tc>
          <w:tcPr>
            <w:tcW w:w="851" w:type="dxa"/>
            <w:tcBorders>
              <w:top w:val="nil"/>
              <w:left w:val="nil"/>
              <w:bottom w:val="single" w:sz="4" w:space="0" w:color="auto"/>
              <w:right w:val="single" w:sz="4" w:space="0" w:color="auto"/>
            </w:tcBorders>
          </w:tcPr>
          <w:p w:rsidR="00415141" w:rsidRPr="00B26318" w:rsidRDefault="00415141" w:rsidP="00DA46B7">
            <w:pPr>
              <w:jc w:val="center"/>
              <w:rPr>
                <w:sz w:val="20"/>
                <w:szCs w:val="20"/>
              </w:rPr>
            </w:pPr>
            <w:r w:rsidRPr="00B26318">
              <w:rPr>
                <w:sz w:val="20"/>
                <w:szCs w:val="20"/>
              </w:rPr>
              <w:t>5</w:t>
            </w:r>
          </w:p>
        </w:tc>
        <w:tc>
          <w:tcPr>
            <w:tcW w:w="1134" w:type="dxa"/>
            <w:tcBorders>
              <w:top w:val="nil"/>
              <w:left w:val="nil"/>
              <w:bottom w:val="single" w:sz="4" w:space="0" w:color="auto"/>
              <w:right w:val="single" w:sz="4" w:space="0" w:color="auto"/>
            </w:tcBorders>
          </w:tcPr>
          <w:p w:rsidR="00415141" w:rsidRPr="00B26318" w:rsidRDefault="00415141" w:rsidP="00DA46B7">
            <w:pPr>
              <w:jc w:val="center"/>
              <w:rPr>
                <w:rFonts w:ascii="Arial CYR" w:hAnsi="Arial CYR" w:cs="Arial CYR"/>
                <w:sz w:val="20"/>
                <w:szCs w:val="20"/>
              </w:rPr>
            </w:pPr>
            <w:r w:rsidRPr="00B26318">
              <w:rPr>
                <w:rFonts w:ascii="Arial CYR" w:hAnsi="Arial CYR" w:cs="Arial CYR"/>
                <w:sz w:val="20"/>
                <w:szCs w:val="20"/>
              </w:rPr>
              <w:t>6</w:t>
            </w:r>
          </w:p>
        </w:tc>
        <w:tc>
          <w:tcPr>
            <w:tcW w:w="850" w:type="dxa"/>
            <w:tcBorders>
              <w:top w:val="nil"/>
              <w:left w:val="nil"/>
              <w:bottom w:val="single" w:sz="4" w:space="0" w:color="auto"/>
              <w:right w:val="single" w:sz="4" w:space="0" w:color="auto"/>
            </w:tcBorders>
          </w:tcPr>
          <w:p w:rsidR="00415141" w:rsidRPr="00B26318" w:rsidRDefault="00415141" w:rsidP="00DA46B7">
            <w:pPr>
              <w:jc w:val="center"/>
              <w:rPr>
                <w:rFonts w:ascii="Arial CYR" w:hAnsi="Arial CYR" w:cs="Arial CYR"/>
                <w:sz w:val="20"/>
                <w:szCs w:val="20"/>
              </w:rPr>
            </w:pPr>
            <w:r w:rsidRPr="00B26318">
              <w:rPr>
                <w:rFonts w:ascii="Arial CYR" w:hAnsi="Arial CYR" w:cs="Arial CYR"/>
                <w:sz w:val="20"/>
                <w:szCs w:val="20"/>
              </w:rPr>
              <w:t>7</w:t>
            </w:r>
          </w:p>
        </w:tc>
        <w:tc>
          <w:tcPr>
            <w:tcW w:w="1134" w:type="dxa"/>
            <w:tcBorders>
              <w:top w:val="nil"/>
              <w:left w:val="nil"/>
              <w:bottom w:val="single" w:sz="4" w:space="0" w:color="auto"/>
              <w:right w:val="single" w:sz="4" w:space="0" w:color="auto"/>
            </w:tcBorders>
          </w:tcPr>
          <w:p w:rsidR="00415141" w:rsidRPr="00B26318" w:rsidRDefault="00415141" w:rsidP="00DA46B7">
            <w:pPr>
              <w:jc w:val="center"/>
              <w:rPr>
                <w:rFonts w:ascii="Arial CYR" w:hAnsi="Arial CYR" w:cs="Arial CYR"/>
                <w:sz w:val="20"/>
                <w:szCs w:val="20"/>
              </w:rPr>
            </w:pPr>
            <w:r w:rsidRPr="00B26318">
              <w:rPr>
                <w:rFonts w:ascii="Arial CYR" w:hAnsi="Arial CYR" w:cs="Arial CYR"/>
                <w:sz w:val="20"/>
                <w:szCs w:val="20"/>
              </w:rPr>
              <w:t>8</w:t>
            </w:r>
          </w:p>
        </w:tc>
        <w:tc>
          <w:tcPr>
            <w:tcW w:w="1134" w:type="dxa"/>
            <w:tcBorders>
              <w:top w:val="nil"/>
              <w:left w:val="nil"/>
              <w:bottom w:val="single" w:sz="4" w:space="0" w:color="auto"/>
              <w:right w:val="single" w:sz="4" w:space="0" w:color="auto"/>
            </w:tcBorders>
          </w:tcPr>
          <w:p w:rsidR="00415141" w:rsidRPr="00B26318" w:rsidRDefault="00415141" w:rsidP="00DA46B7">
            <w:pPr>
              <w:jc w:val="center"/>
              <w:rPr>
                <w:rFonts w:ascii="Arial CYR" w:hAnsi="Arial CYR" w:cs="Arial CYR"/>
                <w:sz w:val="20"/>
                <w:szCs w:val="20"/>
              </w:rPr>
            </w:pPr>
            <w:r w:rsidRPr="00B26318">
              <w:rPr>
                <w:rFonts w:ascii="Arial CYR" w:hAnsi="Arial CYR" w:cs="Arial CYR"/>
                <w:sz w:val="20"/>
                <w:szCs w:val="20"/>
              </w:rPr>
              <w:t>9</w:t>
            </w:r>
          </w:p>
        </w:tc>
      </w:tr>
      <w:tr w:rsidR="00791892" w:rsidRPr="00791892" w:rsidTr="00DE38C5">
        <w:trPr>
          <w:trHeight w:val="531"/>
        </w:trPr>
        <w:tc>
          <w:tcPr>
            <w:tcW w:w="1915" w:type="dxa"/>
            <w:tcBorders>
              <w:top w:val="nil"/>
              <w:left w:val="single" w:sz="4" w:space="0" w:color="auto"/>
              <w:bottom w:val="single" w:sz="4" w:space="0" w:color="auto"/>
              <w:right w:val="single" w:sz="4" w:space="0" w:color="auto"/>
            </w:tcBorders>
          </w:tcPr>
          <w:p w:rsidR="00881890" w:rsidRPr="00791892" w:rsidRDefault="00881890" w:rsidP="00881890">
            <w:pPr>
              <w:spacing w:before="100" w:beforeAutospacing="1" w:after="100" w:afterAutospacing="1"/>
              <w:rPr>
                <w:sz w:val="22"/>
                <w:szCs w:val="22"/>
              </w:rPr>
            </w:pPr>
            <w:r w:rsidRPr="00791892">
              <w:rPr>
                <w:sz w:val="22"/>
                <w:szCs w:val="22"/>
              </w:rPr>
              <w:t>Общегосударственные вопросы</w:t>
            </w:r>
          </w:p>
        </w:tc>
        <w:tc>
          <w:tcPr>
            <w:tcW w:w="939"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1116</w:t>
            </w:r>
          </w:p>
        </w:tc>
        <w:tc>
          <w:tcPr>
            <w:tcW w:w="108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905,7</w:t>
            </w:r>
          </w:p>
        </w:tc>
        <w:tc>
          <w:tcPr>
            <w:tcW w:w="958"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1153,4</w:t>
            </w:r>
          </w:p>
        </w:tc>
        <w:tc>
          <w:tcPr>
            <w:tcW w:w="851"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3,4</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27,3</w:t>
            </w:r>
          </w:p>
        </w:tc>
        <w:tc>
          <w:tcPr>
            <w:tcW w:w="85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993,9</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9,7</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-13,8</w:t>
            </w:r>
          </w:p>
        </w:tc>
      </w:tr>
      <w:tr w:rsidR="00791892" w:rsidRPr="00791892" w:rsidTr="00DE38C5">
        <w:trPr>
          <w:trHeight w:val="428"/>
        </w:trPr>
        <w:tc>
          <w:tcPr>
            <w:tcW w:w="1915" w:type="dxa"/>
            <w:tcBorders>
              <w:top w:val="nil"/>
              <w:left w:val="single" w:sz="4" w:space="0" w:color="auto"/>
              <w:bottom w:val="single" w:sz="4" w:space="0" w:color="auto"/>
              <w:right w:val="single" w:sz="4" w:space="0" w:color="auto"/>
            </w:tcBorders>
          </w:tcPr>
          <w:p w:rsidR="00881890" w:rsidRPr="00791892" w:rsidRDefault="00881890" w:rsidP="00881890">
            <w:pPr>
              <w:spacing w:before="100" w:beforeAutospacing="1" w:after="100" w:afterAutospacing="1"/>
              <w:rPr>
                <w:sz w:val="22"/>
                <w:szCs w:val="22"/>
              </w:rPr>
            </w:pPr>
            <w:r w:rsidRPr="00791892">
              <w:rPr>
                <w:sz w:val="22"/>
                <w:szCs w:val="22"/>
              </w:rPr>
              <w:t>Национальная оборона</w:t>
            </w:r>
          </w:p>
        </w:tc>
        <w:tc>
          <w:tcPr>
            <w:tcW w:w="939"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53,7</w:t>
            </w:r>
          </w:p>
        </w:tc>
        <w:tc>
          <w:tcPr>
            <w:tcW w:w="108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58,2</w:t>
            </w:r>
          </w:p>
        </w:tc>
        <w:tc>
          <w:tcPr>
            <w:tcW w:w="958"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58,2</w:t>
            </w:r>
          </w:p>
        </w:tc>
        <w:tc>
          <w:tcPr>
            <w:tcW w:w="851"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8,4</w:t>
            </w:r>
          </w:p>
        </w:tc>
        <w:tc>
          <w:tcPr>
            <w:tcW w:w="1134" w:type="dxa"/>
            <w:tcBorders>
              <w:top w:val="nil"/>
              <w:left w:val="nil"/>
              <w:bottom w:val="single" w:sz="4" w:space="0" w:color="auto"/>
              <w:right w:val="single" w:sz="4" w:space="0" w:color="auto"/>
            </w:tcBorders>
            <w:vAlign w:val="center"/>
          </w:tcPr>
          <w:p w:rsidR="00881890" w:rsidRPr="00791892" w:rsidRDefault="00791892">
            <w:pPr>
              <w:jc w:val="right"/>
              <w:rPr>
                <w:b/>
                <w:bCs/>
                <w:sz w:val="22"/>
                <w:szCs w:val="22"/>
              </w:rPr>
            </w:pPr>
            <w:r w:rsidRPr="00791892">
              <w:rPr>
                <w:b/>
                <w:bCs/>
                <w:sz w:val="22"/>
                <w:szCs w:val="22"/>
              </w:rPr>
              <w:t>0</w:t>
            </w:r>
          </w:p>
        </w:tc>
        <w:tc>
          <w:tcPr>
            <w:tcW w:w="85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78,4</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34,7</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34,7</w:t>
            </w:r>
          </w:p>
        </w:tc>
      </w:tr>
      <w:tr w:rsidR="00791892" w:rsidRPr="00791892" w:rsidTr="00DE38C5">
        <w:trPr>
          <w:trHeight w:val="510"/>
        </w:trPr>
        <w:tc>
          <w:tcPr>
            <w:tcW w:w="1915" w:type="dxa"/>
            <w:tcBorders>
              <w:top w:val="nil"/>
              <w:left w:val="single" w:sz="4" w:space="0" w:color="auto"/>
              <w:bottom w:val="single" w:sz="4" w:space="0" w:color="auto"/>
              <w:right w:val="single" w:sz="4" w:space="0" w:color="auto"/>
            </w:tcBorders>
          </w:tcPr>
          <w:p w:rsidR="00881890" w:rsidRPr="00791892" w:rsidRDefault="00881890" w:rsidP="00881890">
            <w:pPr>
              <w:spacing w:before="100" w:beforeAutospacing="1" w:after="100" w:afterAutospacing="1"/>
              <w:rPr>
                <w:sz w:val="22"/>
                <w:szCs w:val="22"/>
              </w:rPr>
            </w:pPr>
            <w:r w:rsidRPr="00791892">
              <w:rPr>
                <w:sz w:val="22"/>
                <w:szCs w:val="22"/>
              </w:rPr>
              <w:t>Жилищно-коммунальное хозяйство</w:t>
            </w:r>
          </w:p>
        </w:tc>
        <w:tc>
          <w:tcPr>
            <w:tcW w:w="939"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408</w:t>
            </w:r>
            <w:r w:rsidR="00791892" w:rsidRPr="00791892">
              <w:rPr>
                <w:sz w:val="22"/>
                <w:szCs w:val="22"/>
              </w:rPr>
              <w:t>,0</w:t>
            </w:r>
          </w:p>
        </w:tc>
        <w:tc>
          <w:tcPr>
            <w:tcW w:w="108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315</w:t>
            </w:r>
            <w:r w:rsidR="00791892" w:rsidRPr="00791892">
              <w:rPr>
                <w:sz w:val="22"/>
                <w:szCs w:val="22"/>
              </w:rPr>
              <w:t>,0</w:t>
            </w:r>
          </w:p>
        </w:tc>
        <w:tc>
          <w:tcPr>
            <w:tcW w:w="958"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430,4</w:t>
            </w:r>
          </w:p>
        </w:tc>
        <w:tc>
          <w:tcPr>
            <w:tcW w:w="851"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5,5</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36,6</w:t>
            </w:r>
          </w:p>
        </w:tc>
        <w:tc>
          <w:tcPr>
            <w:tcW w:w="85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445</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41,3</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3,4</w:t>
            </w:r>
          </w:p>
        </w:tc>
      </w:tr>
      <w:tr w:rsidR="00791892" w:rsidRPr="00791892" w:rsidTr="00DE38C5">
        <w:trPr>
          <w:trHeight w:val="465"/>
        </w:trPr>
        <w:tc>
          <w:tcPr>
            <w:tcW w:w="1915" w:type="dxa"/>
            <w:tcBorders>
              <w:top w:val="nil"/>
              <w:left w:val="single" w:sz="4" w:space="0" w:color="auto"/>
              <w:bottom w:val="single" w:sz="4" w:space="0" w:color="auto"/>
              <w:right w:val="single" w:sz="4" w:space="0" w:color="auto"/>
            </w:tcBorders>
          </w:tcPr>
          <w:p w:rsidR="00881890" w:rsidRPr="00791892" w:rsidRDefault="00881890" w:rsidP="00881890">
            <w:pPr>
              <w:spacing w:before="100" w:beforeAutospacing="1" w:after="100" w:afterAutospacing="1"/>
              <w:rPr>
                <w:sz w:val="22"/>
                <w:szCs w:val="22"/>
              </w:rPr>
            </w:pPr>
            <w:r w:rsidRPr="00791892">
              <w:rPr>
                <w:sz w:val="22"/>
                <w:szCs w:val="22"/>
              </w:rPr>
              <w:t>Культура, кинематография</w:t>
            </w:r>
          </w:p>
        </w:tc>
        <w:tc>
          <w:tcPr>
            <w:tcW w:w="939"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278,9</w:t>
            </w:r>
          </w:p>
        </w:tc>
        <w:tc>
          <w:tcPr>
            <w:tcW w:w="108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494,1</w:t>
            </w:r>
          </w:p>
        </w:tc>
        <w:tc>
          <w:tcPr>
            <w:tcW w:w="958"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538,2</w:t>
            </w:r>
          </w:p>
        </w:tc>
        <w:tc>
          <w:tcPr>
            <w:tcW w:w="851"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93,0</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8,9</w:t>
            </w:r>
          </w:p>
        </w:tc>
        <w:tc>
          <w:tcPr>
            <w:tcW w:w="85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544,6</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10,2</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1,2</w:t>
            </w:r>
          </w:p>
        </w:tc>
      </w:tr>
      <w:tr w:rsidR="00791892" w:rsidRPr="00791892" w:rsidTr="00DE38C5">
        <w:trPr>
          <w:trHeight w:val="529"/>
        </w:trPr>
        <w:tc>
          <w:tcPr>
            <w:tcW w:w="1915" w:type="dxa"/>
            <w:tcBorders>
              <w:top w:val="nil"/>
              <w:left w:val="single" w:sz="4" w:space="0" w:color="auto"/>
              <w:bottom w:val="single" w:sz="4" w:space="0" w:color="auto"/>
              <w:right w:val="single" w:sz="4" w:space="0" w:color="auto"/>
            </w:tcBorders>
          </w:tcPr>
          <w:p w:rsidR="00881890" w:rsidRPr="00791892" w:rsidRDefault="00881890" w:rsidP="00881890">
            <w:pPr>
              <w:spacing w:before="100" w:beforeAutospacing="1" w:after="100" w:afterAutospacing="1"/>
              <w:rPr>
                <w:sz w:val="22"/>
                <w:szCs w:val="22"/>
              </w:rPr>
            </w:pPr>
            <w:r w:rsidRPr="00791892">
              <w:rPr>
                <w:sz w:val="22"/>
                <w:szCs w:val="22"/>
              </w:rPr>
              <w:t>Межбюджетные трансферты</w:t>
            </w:r>
          </w:p>
        </w:tc>
        <w:tc>
          <w:tcPr>
            <w:tcW w:w="939"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0</w:t>
            </w:r>
          </w:p>
        </w:tc>
        <w:tc>
          <w:tcPr>
            <w:tcW w:w="108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bCs/>
                <w:sz w:val="22"/>
                <w:szCs w:val="22"/>
              </w:rPr>
              <w:t>0</w:t>
            </w:r>
          </w:p>
        </w:tc>
        <w:tc>
          <w:tcPr>
            <w:tcW w:w="958"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bCs/>
                <w:sz w:val="22"/>
                <w:szCs w:val="22"/>
              </w:rPr>
              <w:t>0 </w:t>
            </w:r>
          </w:p>
        </w:tc>
        <w:tc>
          <w:tcPr>
            <w:tcW w:w="851" w:type="dxa"/>
            <w:tcBorders>
              <w:top w:val="nil"/>
              <w:left w:val="nil"/>
              <w:bottom w:val="single" w:sz="4" w:space="0" w:color="auto"/>
              <w:right w:val="single" w:sz="4" w:space="0" w:color="auto"/>
            </w:tcBorders>
            <w:vAlign w:val="center"/>
          </w:tcPr>
          <w:p w:rsidR="00881890" w:rsidRPr="00791892" w:rsidRDefault="00791892">
            <w:pPr>
              <w:jc w:val="right"/>
              <w:rPr>
                <w:b/>
                <w:bCs/>
                <w:sz w:val="22"/>
                <w:szCs w:val="22"/>
              </w:rPr>
            </w:pPr>
            <w:r w:rsidRPr="00791892">
              <w:rPr>
                <w:b/>
                <w:bCs/>
                <w:sz w:val="22"/>
                <w:szCs w:val="22"/>
              </w:rPr>
              <w:t>0</w:t>
            </w:r>
          </w:p>
        </w:tc>
        <w:tc>
          <w:tcPr>
            <w:tcW w:w="1134" w:type="dxa"/>
            <w:tcBorders>
              <w:top w:val="nil"/>
              <w:left w:val="nil"/>
              <w:bottom w:val="single" w:sz="4" w:space="0" w:color="auto"/>
              <w:right w:val="single" w:sz="4" w:space="0" w:color="auto"/>
            </w:tcBorders>
            <w:vAlign w:val="center"/>
          </w:tcPr>
          <w:p w:rsidR="00881890" w:rsidRPr="00791892" w:rsidRDefault="00791892">
            <w:pPr>
              <w:jc w:val="right"/>
              <w:rPr>
                <w:b/>
                <w:bCs/>
                <w:sz w:val="22"/>
                <w:szCs w:val="22"/>
              </w:rPr>
            </w:pPr>
            <w:r w:rsidRPr="00791892">
              <w:rPr>
                <w:b/>
                <w:bCs/>
                <w:sz w:val="22"/>
                <w:szCs w:val="22"/>
              </w:rPr>
              <w:t>0</w:t>
            </w:r>
          </w:p>
        </w:tc>
        <w:tc>
          <w:tcPr>
            <w:tcW w:w="850" w:type="dxa"/>
            <w:tcBorders>
              <w:top w:val="nil"/>
              <w:left w:val="nil"/>
              <w:bottom w:val="single" w:sz="4" w:space="0" w:color="auto"/>
              <w:right w:val="single" w:sz="4" w:space="0" w:color="auto"/>
            </w:tcBorders>
            <w:vAlign w:val="center"/>
          </w:tcPr>
          <w:p w:rsidR="00881890" w:rsidRPr="00791892" w:rsidRDefault="00881890">
            <w:pPr>
              <w:jc w:val="right"/>
              <w:rPr>
                <w:sz w:val="22"/>
                <w:szCs w:val="22"/>
              </w:rPr>
            </w:pPr>
            <w:r w:rsidRPr="00791892">
              <w:rPr>
                <w:sz w:val="22"/>
                <w:szCs w:val="22"/>
              </w:rPr>
              <w:t>6,5</w:t>
            </w:r>
          </w:p>
        </w:tc>
        <w:tc>
          <w:tcPr>
            <w:tcW w:w="1134" w:type="dxa"/>
            <w:tcBorders>
              <w:top w:val="nil"/>
              <w:left w:val="nil"/>
              <w:bottom w:val="single" w:sz="4" w:space="0" w:color="auto"/>
              <w:right w:val="single" w:sz="4" w:space="0" w:color="auto"/>
            </w:tcBorders>
            <w:vAlign w:val="center"/>
          </w:tcPr>
          <w:p w:rsidR="00881890" w:rsidRPr="00791892" w:rsidRDefault="00791892">
            <w:pPr>
              <w:jc w:val="right"/>
              <w:rPr>
                <w:b/>
                <w:bCs/>
                <w:sz w:val="22"/>
                <w:szCs w:val="22"/>
              </w:rPr>
            </w:pPr>
            <w:r w:rsidRPr="00791892">
              <w:rPr>
                <w:b/>
                <w:bCs/>
                <w:sz w:val="22"/>
                <w:szCs w:val="22"/>
              </w:rPr>
              <w:t>0</w:t>
            </w:r>
          </w:p>
        </w:tc>
        <w:tc>
          <w:tcPr>
            <w:tcW w:w="1134" w:type="dxa"/>
            <w:tcBorders>
              <w:top w:val="nil"/>
              <w:left w:val="nil"/>
              <w:bottom w:val="single" w:sz="4" w:space="0" w:color="auto"/>
              <w:right w:val="single" w:sz="4" w:space="0" w:color="auto"/>
            </w:tcBorders>
            <w:vAlign w:val="center"/>
          </w:tcPr>
          <w:p w:rsidR="00881890" w:rsidRPr="00791892" w:rsidRDefault="00791892">
            <w:pPr>
              <w:jc w:val="right"/>
              <w:rPr>
                <w:b/>
                <w:bCs/>
                <w:sz w:val="22"/>
                <w:szCs w:val="22"/>
              </w:rPr>
            </w:pPr>
            <w:r w:rsidRPr="00791892">
              <w:rPr>
                <w:b/>
                <w:bCs/>
                <w:sz w:val="22"/>
                <w:szCs w:val="22"/>
              </w:rPr>
              <w:t>0</w:t>
            </w:r>
          </w:p>
        </w:tc>
      </w:tr>
      <w:tr w:rsidR="00791892" w:rsidRPr="00791892" w:rsidTr="00DE38C5">
        <w:trPr>
          <w:trHeight w:val="344"/>
        </w:trPr>
        <w:tc>
          <w:tcPr>
            <w:tcW w:w="1915" w:type="dxa"/>
            <w:tcBorders>
              <w:top w:val="nil"/>
              <w:left w:val="single" w:sz="4" w:space="0" w:color="auto"/>
              <w:bottom w:val="single" w:sz="4" w:space="0" w:color="auto"/>
              <w:right w:val="single" w:sz="4" w:space="0" w:color="auto"/>
            </w:tcBorders>
          </w:tcPr>
          <w:p w:rsidR="00881890" w:rsidRPr="00791892" w:rsidRDefault="00881890" w:rsidP="00B01B78">
            <w:pPr>
              <w:jc w:val="both"/>
              <w:rPr>
                <w:b/>
                <w:sz w:val="22"/>
                <w:szCs w:val="22"/>
              </w:rPr>
            </w:pPr>
            <w:r w:rsidRPr="00791892">
              <w:rPr>
                <w:b/>
                <w:sz w:val="22"/>
                <w:szCs w:val="22"/>
              </w:rPr>
              <w:t>Всего расходы</w:t>
            </w:r>
          </w:p>
        </w:tc>
        <w:tc>
          <w:tcPr>
            <w:tcW w:w="939" w:type="dxa"/>
            <w:tcBorders>
              <w:top w:val="nil"/>
              <w:left w:val="nil"/>
              <w:bottom w:val="single" w:sz="4" w:space="0" w:color="auto"/>
              <w:right w:val="single" w:sz="4" w:space="0" w:color="auto"/>
            </w:tcBorders>
            <w:vAlign w:val="center"/>
          </w:tcPr>
          <w:p w:rsidR="00881890" w:rsidRPr="00791892" w:rsidRDefault="00881890">
            <w:pPr>
              <w:jc w:val="right"/>
              <w:rPr>
                <w:b/>
                <w:bCs/>
                <w:sz w:val="22"/>
                <w:szCs w:val="22"/>
              </w:rPr>
            </w:pPr>
            <w:r w:rsidRPr="00791892">
              <w:rPr>
                <w:b/>
                <w:bCs/>
                <w:sz w:val="22"/>
                <w:szCs w:val="22"/>
              </w:rPr>
              <w:t>1856,6</w:t>
            </w:r>
          </w:p>
        </w:tc>
        <w:tc>
          <w:tcPr>
            <w:tcW w:w="1080" w:type="dxa"/>
            <w:tcBorders>
              <w:top w:val="nil"/>
              <w:left w:val="nil"/>
              <w:bottom w:val="single" w:sz="4" w:space="0" w:color="auto"/>
              <w:right w:val="single" w:sz="4" w:space="0" w:color="auto"/>
            </w:tcBorders>
            <w:vAlign w:val="center"/>
          </w:tcPr>
          <w:p w:rsidR="00881890" w:rsidRPr="00791892" w:rsidRDefault="00881890">
            <w:pPr>
              <w:jc w:val="right"/>
              <w:rPr>
                <w:b/>
                <w:bCs/>
                <w:sz w:val="22"/>
                <w:szCs w:val="22"/>
              </w:rPr>
            </w:pPr>
            <w:r w:rsidRPr="00791892">
              <w:rPr>
                <w:b/>
                <w:bCs/>
                <w:sz w:val="22"/>
                <w:szCs w:val="22"/>
              </w:rPr>
              <w:t>1773,0</w:t>
            </w:r>
          </w:p>
        </w:tc>
        <w:tc>
          <w:tcPr>
            <w:tcW w:w="958" w:type="dxa"/>
            <w:tcBorders>
              <w:top w:val="nil"/>
              <w:left w:val="nil"/>
              <w:bottom w:val="single" w:sz="4" w:space="0" w:color="auto"/>
              <w:right w:val="single" w:sz="4" w:space="0" w:color="auto"/>
            </w:tcBorders>
            <w:vAlign w:val="center"/>
          </w:tcPr>
          <w:p w:rsidR="00881890" w:rsidRPr="00791892" w:rsidRDefault="00881890" w:rsidP="00881890">
            <w:pPr>
              <w:jc w:val="right"/>
              <w:rPr>
                <w:b/>
                <w:bCs/>
                <w:sz w:val="22"/>
                <w:szCs w:val="22"/>
              </w:rPr>
            </w:pPr>
            <w:r w:rsidRPr="00791892">
              <w:rPr>
                <w:b/>
                <w:bCs/>
                <w:sz w:val="22"/>
                <w:szCs w:val="22"/>
              </w:rPr>
              <w:t>2180,2</w:t>
            </w:r>
          </w:p>
        </w:tc>
        <w:tc>
          <w:tcPr>
            <w:tcW w:w="851"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18,0</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23,5</w:t>
            </w:r>
          </w:p>
        </w:tc>
        <w:tc>
          <w:tcPr>
            <w:tcW w:w="850" w:type="dxa"/>
            <w:tcBorders>
              <w:top w:val="nil"/>
              <w:left w:val="nil"/>
              <w:bottom w:val="single" w:sz="4" w:space="0" w:color="auto"/>
              <w:right w:val="single" w:sz="4" w:space="0" w:color="auto"/>
            </w:tcBorders>
            <w:vAlign w:val="center"/>
          </w:tcPr>
          <w:p w:rsidR="00881890" w:rsidRPr="00791892" w:rsidRDefault="00881890">
            <w:pPr>
              <w:jc w:val="right"/>
              <w:rPr>
                <w:b/>
                <w:bCs/>
                <w:sz w:val="22"/>
                <w:szCs w:val="22"/>
              </w:rPr>
            </w:pPr>
            <w:r w:rsidRPr="00791892">
              <w:rPr>
                <w:b/>
                <w:bCs/>
                <w:sz w:val="22"/>
                <w:szCs w:val="22"/>
              </w:rPr>
              <w:t>2068,4</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16,7</w:t>
            </w:r>
          </w:p>
        </w:tc>
        <w:tc>
          <w:tcPr>
            <w:tcW w:w="1134" w:type="dxa"/>
            <w:tcBorders>
              <w:top w:val="nil"/>
              <w:left w:val="nil"/>
              <w:bottom w:val="single" w:sz="4" w:space="0" w:color="auto"/>
              <w:right w:val="single" w:sz="4" w:space="0" w:color="auto"/>
            </w:tcBorders>
            <w:vAlign w:val="center"/>
          </w:tcPr>
          <w:p w:rsidR="00881890" w:rsidRPr="00791892" w:rsidRDefault="00881890" w:rsidP="00791892">
            <w:pPr>
              <w:jc w:val="right"/>
              <w:rPr>
                <w:b/>
                <w:bCs/>
                <w:sz w:val="22"/>
                <w:szCs w:val="22"/>
              </w:rPr>
            </w:pPr>
            <w:r w:rsidRPr="00791892">
              <w:rPr>
                <w:b/>
                <w:bCs/>
                <w:sz w:val="22"/>
                <w:szCs w:val="22"/>
              </w:rPr>
              <w:t>-5,6</w:t>
            </w:r>
          </w:p>
        </w:tc>
      </w:tr>
    </w:tbl>
    <w:p w:rsidR="00C23034" w:rsidRPr="00B26318" w:rsidRDefault="00C23034" w:rsidP="00AF7495">
      <w:pPr>
        <w:spacing w:line="360" w:lineRule="auto"/>
        <w:ind w:firstLine="567"/>
        <w:jc w:val="both"/>
        <w:rPr>
          <w:sz w:val="28"/>
          <w:szCs w:val="28"/>
        </w:rPr>
      </w:pPr>
      <w:r w:rsidRPr="00791892">
        <w:rPr>
          <w:sz w:val="28"/>
          <w:szCs w:val="28"/>
        </w:rPr>
        <w:lastRenderedPageBreak/>
        <w:t xml:space="preserve">Структура расходов проекта бюджета </w:t>
      </w:r>
      <w:proofErr w:type="spellStart"/>
      <w:r w:rsidR="00B34255" w:rsidRPr="00791892">
        <w:rPr>
          <w:sz w:val="28"/>
          <w:szCs w:val="28"/>
        </w:rPr>
        <w:t>Верхнеошмин</w:t>
      </w:r>
      <w:r w:rsidRPr="00791892">
        <w:rPr>
          <w:sz w:val="28"/>
          <w:szCs w:val="28"/>
        </w:rPr>
        <w:t>ского</w:t>
      </w:r>
      <w:proofErr w:type="spellEnd"/>
      <w:r w:rsidRPr="00791892">
        <w:rPr>
          <w:sz w:val="28"/>
          <w:szCs w:val="28"/>
        </w:rPr>
        <w:t xml:space="preserve"> сельского</w:t>
      </w:r>
      <w:r w:rsidRPr="00B26318">
        <w:rPr>
          <w:sz w:val="28"/>
          <w:szCs w:val="28"/>
        </w:rPr>
        <w:t xml:space="preserve"> поселения на 2014 год отражена в следующей диаграмме: </w:t>
      </w:r>
    </w:p>
    <w:p w:rsidR="00C23034" w:rsidRPr="00A92B81" w:rsidRDefault="00C23034" w:rsidP="00C23034">
      <w:pPr>
        <w:ind w:firstLine="540"/>
        <w:jc w:val="right"/>
        <w:rPr>
          <w:sz w:val="28"/>
          <w:szCs w:val="28"/>
        </w:rPr>
      </w:pPr>
      <w:r w:rsidRPr="00A92B81">
        <w:rPr>
          <w:sz w:val="28"/>
          <w:szCs w:val="28"/>
        </w:rPr>
        <w:t xml:space="preserve">диаграмма </w:t>
      </w:r>
      <w:r w:rsidR="00B26318">
        <w:rPr>
          <w:sz w:val="28"/>
          <w:szCs w:val="28"/>
        </w:rPr>
        <w:t>2</w:t>
      </w:r>
      <w:r w:rsidRPr="00A92B81">
        <w:rPr>
          <w:sz w:val="28"/>
          <w:szCs w:val="28"/>
        </w:rPr>
        <w:t xml:space="preserve"> (тыс. руб.)</w:t>
      </w:r>
    </w:p>
    <w:p w:rsidR="00C23034" w:rsidRPr="00A41113" w:rsidRDefault="00C23034" w:rsidP="006D18F5">
      <w:pPr>
        <w:spacing w:line="276" w:lineRule="auto"/>
        <w:ind w:left="-284" w:firstLine="900"/>
        <w:jc w:val="both"/>
        <w:rPr>
          <w:color w:val="FF0000"/>
          <w:sz w:val="28"/>
          <w:szCs w:val="28"/>
        </w:rPr>
      </w:pPr>
      <w:r>
        <w:rPr>
          <w:noProof/>
          <w:sz w:val="32"/>
          <w:szCs w:val="32"/>
        </w:rPr>
        <w:drawing>
          <wp:inline distT="0" distB="0" distL="0" distR="0" wp14:anchorId="57B47BE4" wp14:editId="4201C5CD">
            <wp:extent cx="127000" cy="254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35638">
        <w:rPr>
          <w:sz w:val="32"/>
          <w:szCs w:val="32"/>
        </w:rPr>
        <w:t xml:space="preserve">      </w:t>
      </w:r>
      <w:r w:rsidRPr="00335638">
        <w:rPr>
          <w:sz w:val="28"/>
          <w:szCs w:val="28"/>
        </w:rPr>
        <w:t xml:space="preserve">   </w:t>
      </w:r>
      <w:r>
        <w:rPr>
          <w:noProof/>
          <w:sz w:val="32"/>
          <w:szCs w:val="32"/>
        </w:rPr>
        <w:drawing>
          <wp:inline distT="0" distB="0" distL="0" distR="0" wp14:anchorId="590E197F" wp14:editId="0CF4F6AE">
            <wp:extent cx="6362700" cy="41402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35638">
        <w:rPr>
          <w:sz w:val="28"/>
          <w:szCs w:val="28"/>
        </w:rPr>
        <w:t xml:space="preserve">  </w:t>
      </w:r>
    </w:p>
    <w:p w:rsidR="00C23034" w:rsidRPr="00AF7495" w:rsidRDefault="00C23034" w:rsidP="00AF7495">
      <w:pPr>
        <w:spacing w:line="276" w:lineRule="auto"/>
        <w:ind w:firstLine="540"/>
        <w:jc w:val="both"/>
        <w:rPr>
          <w:sz w:val="28"/>
          <w:szCs w:val="28"/>
        </w:rPr>
      </w:pPr>
      <w:r w:rsidRPr="00AF7495">
        <w:rPr>
          <w:sz w:val="28"/>
          <w:szCs w:val="28"/>
        </w:rPr>
        <w:t xml:space="preserve">Проектом бюджета </w:t>
      </w:r>
      <w:proofErr w:type="spellStart"/>
      <w:r w:rsidR="00B34255">
        <w:rPr>
          <w:sz w:val="28"/>
          <w:szCs w:val="28"/>
        </w:rPr>
        <w:t>Верхнеошмин</w:t>
      </w:r>
      <w:r w:rsidR="00B26318" w:rsidRPr="00B26318">
        <w:rPr>
          <w:sz w:val="28"/>
          <w:szCs w:val="28"/>
        </w:rPr>
        <w:t>ского</w:t>
      </w:r>
      <w:proofErr w:type="spellEnd"/>
      <w:r w:rsidR="00B26318" w:rsidRPr="00B26318">
        <w:rPr>
          <w:sz w:val="28"/>
          <w:szCs w:val="28"/>
        </w:rPr>
        <w:t xml:space="preserve"> сельского поселения </w:t>
      </w:r>
      <w:r w:rsidRPr="00AF7495">
        <w:rPr>
          <w:sz w:val="28"/>
          <w:szCs w:val="28"/>
        </w:rPr>
        <w:t xml:space="preserve">на 2014 год предусматриваются расходы в общей сумме </w:t>
      </w:r>
      <w:r w:rsidR="00BA4792">
        <w:rPr>
          <w:sz w:val="28"/>
          <w:szCs w:val="28"/>
        </w:rPr>
        <w:t>2068,4</w:t>
      </w:r>
      <w:r w:rsidRPr="00AF7495">
        <w:rPr>
          <w:sz w:val="28"/>
          <w:szCs w:val="28"/>
        </w:rPr>
        <w:t xml:space="preserve"> тыс. рублей, что на </w:t>
      </w:r>
      <w:r w:rsidR="001B6DDB">
        <w:rPr>
          <w:sz w:val="28"/>
          <w:szCs w:val="28"/>
        </w:rPr>
        <w:t>16,7</w:t>
      </w:r>
      <w:r w:rsidRPr="00AF7495">
        <w:rPr>
          <w:sz w:val="28"/>
          <w:szCs w:val="28"/>
        </w:rPr>
        <w:t xml:space="preserve">% больше утвержденного бюджета на 2013 год и на </w:t>
      </w:r>
      <w:r w:rsidR="001B6DDB">
        <w:rPr>
          <w:sz w:val="28"/>
          <w:szCs w:val="28"/>
        </w:rPr>
        <w:t>5,6</w:t>
      </w:r>
      <w:r w:rsidRPr="00AF7495">
        <w:rPr>
          <w:sz w:val="28"/>
          <w:szCs w:val="28"/>
        </w:rPr>
        <w:t>% ниже ожидаемого исполнения в 2013 году.</w:t>
      </w:r>
    </w:p>
    <w:p w:rsidR="00831604" w:rsidRDefault="00831604" w:rsidP="00831604">
      <w:pPr>
        <w:spacing w:line="276" w:lineRule="auto"/>
        <w:ind w:right="-143" w:firstLine="540"/>
        <w:jc w:val="both"/>
        <w:rPr>
          <w:sz w:val="28"/>
          <w:szCs w:val="28"/>
        </w:rPr>
      </w:pPr>
    </w:p>
    <w:p w:rsidR="00831604" w:rsidRPr="00831604" w:rsidRDefault="00831604" w:rsidP="00831604">
      <w:pPr>
        <w:spacing w:line="276" w:lineRule="auto"/>
        <w:ind w:right="-143" w:firstLine="540"/>
        <w:jc w:val="both"/>
        <w:rPr>
          <w:sz w:val="28"/>
          <w:szCs w:val="28"/>
        </w:rPr>
      </w:pPr>
      <w:r w:rsidRPr="00C04B6D">
        <w:rPr>
          <w:sz w:val="28"/>
          <w:szCs w:val="28"/>
        </w:rPr>
        <w:t xml:space="preserve">В </w:t>
      </w:r>
      <w:r w:rsidRPr="00831604">
        <w:rPr>
          <w:sz w:val="28"/>
          <w:szCs w:val="28"/>
        </w:rPr>
        <w:t xml:space="preserve">прогнозе  расходной части бюджета поселения </w:t>
      </w:r>
      <w:r w:rsidR="0047214A" w:rsidRPr="00AF7495">
        <w:rPr>
          <w:sz w:val="28"/>
          <w:szCs w:val="28"/>
        </w:rPr>
        <w:t xml:space="preserve">на 2014 год </w:t>
      </w:r>
      <w:r w:rsidRPr="00831604">
        <w:rPr>
          <w:sz w:val="28"/>
          <w:szCs w:val="28"/>
        </w:rPr>
        <w:t>наибольший удельный вес занимают расходы по разделам:</w:t>
      </w:r>
    </w:p>
    <w:p w:rsidR="00831604" w:rsidRPr="00831604" w:rsidRDefault="00831604" w:rsidP="00831604">
      <w:pPr>
        <w:spacing w:line="276" w:lineRule="auto"/>
        <w:ind w:right="-143" w:firstLine="540"/>
        <w:jc w:val="both"/>
        <w:rPr>
          <w:sz w:val="28"/>
          <w:szCs w:val="28"/>
        </w:rPr>
      </w:pPr>
      <w:r w:rsidRPr="00831604">
        <w:rPr>
          <w:sz w:val="28"/>
          <w:szCs w:val="28"/>
        </w:rPr>
        <w:t xml:space="preserve">- Общегосударственные вопросы – </w:t>
      </w:r>
      <w:r w:rsidR="0047214A">
        <w:rPr>
          <w:sz w:val="28"/>
          <w:szCs w:val="28"/>
        </w:rPr>
        <w:t>48,1</w:t>
      </w:r>
      <w:r w:rsidRPr="00831604">
        <w:rPr>
          <w:sz w:val="28"/>
          <w:szCs w:val="28"/>
        </w:rPr>
        <w:t xml:space="preserve"> %,</w:t>
      </w:r>
      <w:bookmarkStart w:id="0" w:name="_GoBack"/>
      <w:bookmarkEnd w:id="0"/>
    </w:p>
    <w:p w:rsidR="00831604" w:rsidRPr="00831604" w:rsidRDefault="00831604" w:rsidP="00831604">
      <w:pPr>
        <w:spacing w:line="276" w:lineRule="auto"/>
        <w:ind w:right="-143" w:firstLine="540"/>
        <w:jc w:val="both"/>
        <w:rPr>
          <w:sz w:val="28"/>
          <w:szCs w:val="28"/>
        </w:rPr>
      </w:pPr>
      <w:r w:rsidRPr="00831604">
        <w:rPr>
          <w:sz w:val="28"/>
          <w:szCs w:val="28"/>
        </w:rPr>
        <w:t>- Жилищно-коммунальное хозяйство – 2</w:t>
      </w:r>
      <w:r w:rsidR="0047214A">
        <w:rPr>
          <w:sz w:val="28"/>
          <w:szCs w:val="28"/>
        </w:rPr>
        <w:t>1</w:t>
      </w:r>
      <w:r w:rsidRPr="00831604">
        <w:rPr>
          <w:sz w:val="28"/>
          <w:szCs w:val="28"/>
        </w:rPr>
        <w:t>,5 %,</w:t>
      </w:r>
    </w:p>
    <w:p w:rsidR="00831604" w:rsidRPr="00831604" w:rsidRDefault="00831604" w:rsidP="00831604">
      <w:pPr>
        <w:spacing w:line="276" w:lineRule="auto"/>
        <w:ind w:right="-143" w:firstLine="540"/>
        <w:jc w:val="both"/>
        <w:rPr>
          <w:sz w:val="28"/>
          <w:szCs w:val="28"/>
        </w:rPr>
      </w:pPr>
      <w:r w:rsidRPr="00831604">
        <w:rPr>
          <w:sz w:val="28"/>
          <w:szCs w:val="28"/>
        </w:rPr>
        <w:t xml:space="preserve">- Культура – </w:t>
      </w:r>
      <w:r w:rsidR="0047214A">
        <w:rPr>
          <w:sz w:val="28"/>
          <w:szCs w:val="28"/>
        </w:rPr>
        <w:t>26,3</w:t>
      </w:r>
      <w:r w:rsidRPr="00831604">
        <w:rPr>
          <w:sz w:val="28"/>
          <w:szCs w:val="28"/>
        </w:rPr>
        <w:t xml:space="preserve"> %.</w:t>
      </w:r>
    </w:p>
    <w:p w:rsidR="005425E8" w:rsidRPr="00AF7495" w:rsidRDefault="005425E8" w:rsidP="00AF7495">
      <w:pPr>
        <w:spacing w:before="100" w:beforeAutospacing="1" w:after="100" w:afterAutospacing="1" w:line="276" w:lineRule="auto"/>
        <w:ind w:firstLine="540"/>
        <w:jc w:val="both"/>
        <w:rPr>
          <w:sz w:val="28"/>
          <w:szCs w:val="28"/>
        </w:rPr>
      </w:pPr>
      <w:r w:rsidRPr="00AF7495">
        <w:rPr>
          <w:sz w:val="28"/>
          <w:szCs w:val="28"/>
        </w:rPr>
        <w:t>В разделе 01 «Общегосударственные вопросы» отражаются расходы на содержание Совета, Исполнительного комитета поселения и  расходы на реализацию полномочий по государственной регистрации актов гражданского состояния и составляют:</w:t>
      </w:r>
    </w:p>
    <w:p w:rsidR="005425E8" w:rsidRPr="00AF7495" w:rsidRDefault="005425E8" w:rsidP="00AF7495">
      <w:pPr>
        <w:numPr>
          <w:ilvl w:val="0"/>
          <w:numId w:val="4"/>
        </w:numPr>
        <w:spacing w:before="100" w:beforeAutospacing="1" w:after="100" w:afterAutospacing="1" w:line="276" w:lineRule="auto"/>
        <w:ind w:left="0" w:firstLine="540"/>
        <w:jc w:val="both"/>
        <w:rPr>
          <w:sz w:val="28"/>
          <w:szCs w:val="28"/>
        </w:rPr>
      </w:pPr>
      <w:r w:rsidRPr="00AF7495">
        <w:rPr>
          <w:sz w:val="28"/>
          <w:szCs w:val="28"/>
        </w:rPr>
        <w:t xml:space="preserve"> 2014 год </w:t>
      </w:r>
      <w:r w:rsidR="0058570C">
        <w:rPr>
          <w:sz w:val="28"/>
          <w:szCs w:val="28"/>
        </w:rPr>
        <w:t>–</w:t>
      </w:r>
      <w:r w:rsidRPr="00AF7495">
        <w:rPr>
          <w:sz w:val="28"/>
          <w:szCs w:val="28"/>
        </w:rPr>
        <w:t xml:space="preserve"> </w:t>
      </w:r>
      <w:r w:rsidR="0047214A">
        <w:rPr>
          <w:sz w:val="28"/>
          <w:szCs w:val="28"/>
        </w:rPr>
        <w:t>993,6</w:t>
      </w:r>
      <w:r w:rsidRPr="00AF7495">
        <w:rPr>
          <w:sz w:val="28"/>
          <w:szCs w:val="28"/>
        </w:rPr>
        <w:t xml:space="preserve"> тыс. рублей, </w:t>
      </w:r>
    </w:p>
    <w:p w:rsidR="005425E8" w:rsidRPr="00AF7495" w:rsidRDefault="005425E8" w:rsidP="00AF7495">
      <w:pPr>
        <w:numPr>
          <w:ilvl w:val="0"/>
          <w:numId w:val="4"/>
        </w:numPr>
        <w:spacing w:before="100" w:beforeAutospacing="1" w:after="100" w:afterAutospacing="1" w:line="276" w:lineRule="auto"/>
        <w:ind w:left="0" w:firstLine="540"/>
        <w:jc w:val="both"/>
        <w:rPr>
          <w:sz w:val="28"/>
          <w:szCs w:val="28"/>
        </w:rPr>
      </w:pPr>
      <w:r w:rsidRPr="00AF7495">
        <w:rPr>
          <w:sz w:val="28"/>
          <w:szCs w:val="28"/>
        </w:rPr>
        <w:lastRenderedPageBreak/>
        <w:t xml:space="preserve"> 2015 год </w:t>
      </w:r>
      <w:r w:rsidR="0058570C">
        <w:rPr>
          <w:sz w:val="28"/>
          <w:szCs w:val="28"/>
        </w:rPr>
        <w:t>–</w:t>
      </w:r>
      <w:r w:rsidRPr="00AF7495">
        <w:rPr>
          <w:sz w:val="28"/>
          <w:szCs w:val="28"/>
        </w:rPr>
        <w:t xml:space="preserve"> </w:t>
      </w:r>
      <w:r w:rsidR="0047214A">
        <w:rPr>
          <w:sz w:val="28"/>
          <w:szCs w:val="28"/>
        </w:rPr>
        <w:t>912,6</w:t>
      </w:r>
      <w:r w:rsidRPr="00AF7495">
        <w:rPr>
          <w:sz w:val="28"/>
          <w:szCs w:val="28"/>
        </w:rPr>
        <w:t xml:space="preserve"> тыс. рублей, </w:t>
      </w:r>
    </w:p>
    <w:p w:rsidR="005425E8" w:rsidRPr="00AF7495" w:rsidRDefault="005425E8" w:rsidP="00AF7495">
      <w:pPr>
        <w:numPr>
          <w:ilvl w:val="0"/>
          <w:numId w:val="4"/>
        </w:numPr>
        <w:spacing w:before="100" w:beforeAutospacing="1" w:after="100" w:afterAutospacing="1" w:line="276" w:lineRule="auto"/>
        <w:ind w:left="0" w:firstLine="540"/>
        <w:jc w:val="both"/>
        <w:rPr>
          <w:sz w:val="28"/>
          <w:szCs w:val="28"/>
        </w:rPr>
      </w:pPr>
      <w:r w:rsidRPr="00AF7495">
        <w:rPr>
          <w:sz w:val="28"/>
          <w:szCs w:val="28"/>
        </w:rPr>
        <w:t xml:space="preserve"> 2016 год </w:t>
      </w:r>
      <w:r w:rsidR="0058570C">
        <w:rPr>
          <w:sz w:val="28"/>
          <w:szCs w:val="28"/>
        </w:rPr>
        <w:t>–</w:t>
      </w:r>
      <w:r w:rsidRPr="00AF7495">
        <w:rPr>
          <w:sz w:val="28"/>
          <w:szCs w:val="28"/>
        </w:rPr>
        <w:t xml:space="preserve"> </w:t>
      </w:r>
      <w:r w:rsidR="0047214A">
        <w:rPr>
          <w:sz w:val="28"/>
          <w:szCs w:val="28"/>
        </w:rPr>
        <w:t xml:space="preserve">933,3 </w:t>
      </w:r>
      <w:r w:rsidRPr="00AF7495">
        <w:rPr>
          <w:sz w:val="28"/>
          <w:szCs w:val="28"/>
        </w:rPr>
        <w:t xml:space="preserve">тыс. рублей. </w:t>
      </w:r>
    </w:p>
    <w:p w:rsidR="005425E8" w:rsidRPr="00AF7495" w:rsidRDefault="005425E8" w:rsidP="00AF7495">
      <w:pPr>
        <w:spacing w:before="100" w:beforeAutospacing="1" w:after="100" w:afterAutospacing="1" w:line="276" w:lineRule="auto"/>
        <w:ind w:firstLine="540"/>
        <w:jc w:val="both"/>
        <w:rPr>
          <w:sz w:val="28"/>
          <w:szCs w:val="28"/>
        </w:rPr>
      </w:pPr>
      <w:r w:rsidRPr="00AF7495">
        <w:rPr>
          <w:sz w:val="28"/>
          <w:szCs w:val="28"/>
        </w:rPr>
        <w:t>По разделу 02 «Национальная оборона» планируются расходы на осуществление первичного воинского учета на территориях, где отсутствуют военные комиссариаты:</w:t>
      </w:r>
    </w:p>
    <w:p w:rsidR="005425E8" w:rsidRPr="00AF7495" w:rsidRDefault="005425E8" w:rsidP="00AF7495">
      <w:pPr>
        <w:numPr>
          <w:ilvl w:val="0"/>
          <w:numId w:val="5"/>
        </w:numPr>
        <w:spacing w:before="100" w:beforeAutospacing="1" w:after="100" w:afterAutospacing="1" w:line="276" w:lineRule="auto"/>
        <w:ind w:left="0" w:firstLine="540"/>
        <w:jc w:val="both"/>
        <w:rPr>
          <w:sz w:val="28"/>
          <w:szCs w:val="28"/>
        </w:rPr>
      </w:pPr>
      <w:r w:rsidRPr="00AF7495">
        <w:rPr>
          <w:sz w:val="28"/>
          <w:szCs w:val="28"/>
        </w:rPr>
        <w:t xml:space="preserve"> 2014 год </w:t>
      </w:r>
      <w:r w:rsidR="0058570C">
        <w:rPr>
          <w:sz w:val="28"/>
          <w:szCs w:val="28"/>
        </w:rPr>
        <w:t>–</w:t>
      </w:r>
      <w:r w:rsidRPr="00AF7495">
        <w:rPr>
          <w:sz w:val="28"/>
          <w:szCs w:val="28"/>
        </w:rPr>
        <w:t xml:space="preserve"> </w:t>
      </w:r>
      <w:r w:rsidR="0058570C">
        <w:rPr>
          <w:sz w:val="28"/>
          <w:szCs w:val="28"/>
        </w:rPr>
        <w:t>78,</w:t>
      </w:r>
      <w:r w:rsidR="0047214A">
        <w:rPr>
          <w:sz w:val="28"/>
          <w:szCs w:val="28"/>
        </w:rPr>
        <w:t>4</w:t>
      </w:r>
      <w:r w:rsidRPr="00AF7495">
        <w:rPr>
          <w:sz w:val="28"/>
          <w:szCs w:val="28"/>
        </w:rPr>
        <w:t xml:space="preserve"> тыс. рублей, </w:t>
      </w:r>
    </w:p>
    <w:p w:rsidR="005425E8" w:rsidRPr="00AF7495" w:rsidRDefault="005425E8" w:rsidP="00AF7495">
      <w:pPr>
        <w:numPr>
          <w:ilvl w:val="0"/>
          <w:numId w:val="5"/>
        </w:numPr>
        <w:spacing w:before="100" w:beforeAutospacing="1" w:after="100" w:afterAutospacing="1" w:line="276" w:lineRule="auto"/>
        <w:ind w:left="0" w:firstLine="540"/>
        <w:jc w:val="both"/>
        <w:rPr>
          <w:sz w:val="28"/>
          <w:szCs w:val="28"/>
        </w:rPr>
      </w:pPr>
      <w:r w:rsidRPr="00AF7495">
        <w:rPr>
          <w:sz w:val="28"/>
          <w:szCs w:val="28"/>
        </w:rPr>
        <w:t xml:space="preserve"> 2015 год - </w:t>
      </w:r>
      <w:r w:rsidR="0058570C">
        <w:rPr>
          <w:sz w:val="28"/>
          <w:szCs w:val="28"/>
        </w:rPr>
        <w:t>7</w:t>
      </w:r>
      <w:r w:rsidRPr="00AF7495">
        <w:rPr>
          <w:sz w:val="28"/>
          <w:szCs w:val="28"/>
        </w:rPr>
        <w:t>8,</w:t>
      </w:r>
      <w:r w:rsidR="0047214A">
        <w:rPr>
          <w:sz w:val="28"/>
          <w:szCs w:val="28"/>
        </w:rPr>
        <w:t>3</w:t>
      </w:r>
      <w:r w:rsidRPr="00AF7495">
        <w:rPr>
          <w:sz w:val="28"/>
          <w:szCs w:val="28"/>
        </w:rPr>
        <w:t xml:space="preserve"> тыс. рублей, </w:t>
      </w:r>
    </w:p>
    <w:p w:rsidR="005425E8" w:rsidRPr="00AF7495" w:rsidRDefault="005425E8" w:rsidP="00AF7495">
      <w:pPr>
        <w:numPr>
          <w:ilvl w:val="0"/>
          <w:numId w:val="5"/>
        </w:numPr>
        <w:spacing w:before="100" w:beforeAutospacing="1" w:after="100" w:afterAutospacing="1" w:line="276" w:lineRule="auto"/>
        <w:ind w:left="0" w:firstLine="540"/>
        <w:jc w:val="both"/>
        <w:rPr>
          <w:sz w:val="28"/>
          <w:szCs w:val="28"/>
        </w:rPr>
      </w:pPr>
      <w:r w:rsidRPr="00AF7495">
        <w:rPr>
          <w:sz w:val="28"/>
          <w:szCs w:val="28"/>
        </w:rPr>
        <w:t xml:space="preserve"> 2016 год </w:t>
      </w:r>
      <w:r w:rsidR="0058570C">
        <w:rPr>
          <w:sz w:val="28"/>
          <w:szCs w:val="28"/>
        </w:rPr>
        <w:t>–</w:t>
      </w:r>
      <w:r w:rsidRPr="00AF7495">
        <w:rPr>
          <w:sz w:val="28"/>
          <w:szCs w:val="28"/>
        </w:rPr>
        <w:t xml:space="preserve"> </w:t>
      </w:r>
      <w:r w:rsidR="0058570C">
        <w:rPr>
          <w:sz w:val="28"/>
          <w:szCs w:val="28"/>
        </w:rPr>
        <w:t>78,</w:t>
      </w:r>
      <w:r w:rsidR="0047214A">
        <w:rPr>
          <w:sz w:val="28"/>
          <w:szCs w:val="28"/>
        </w:rPr>
        <w:t>3</w:t>
      </w:r>
      <w:r w:rsidRPr="00AF7495">
        <w:rPr>
          <w:sz w:val="28"/>
          <w:szCs w:val="28"/>
        </w:rPr>
        <w:t xml:space="preserve"> тыс. рублей. </w:t>
      </w:r>
    </w:p>
    <w:p w:rsidR="005425E8" w:rsidRPr="00AF7495" w:rsidRDefault="005425E8" w:rsidP="00AF7495">
      <w:pPr>
        <w:spacing w:before="100" w:beforeAutospacing="1" w:after="100" w:afterAutospacing="1" w:line="276" w:lineRule="auto"/>
        <w:ind w:firstLine="540"/>
        <w:jc w:val="both"/>
        <w:rPr>
          <w:sz w:val="28"/>
          <w:szCs w:val="28"/>
        </w:rPr>
      </w:pPr>
      <w:r w:rsidRPr="00AF7495">
        <w:rPr>
          <w:sz w:val="28"/>
          <w:szCs w:val="28"/>
        </w:rPr>
        <w:t>В разделе 05 «Жилищно-коммунальное хозяйство» отражаются расходы на благоустройство (уличное освещение, содержание дорог и мостов, озеленение, содержание кладбищ, прочие мероприятия по благоустройству):</w:t>
      </w:r>
    </w:p>
    <w:p w:rsidR="005425E8" w:rsidRPr="00AF7495" w:rsidRDefault="005425E8" w:rsidP="00AF7495">
      <w:pPr>
        <w:numPr>
          <w:ilvl w:val="0"/>
          <w:numId w:val="6"/>
        </w:numPr>
        <w:spacing w:before="100" w:beforeAutospacing="1" w:after="100" w:afterAutospacing="1" w:line="276" w:lineRule="auto"/>
        <w:ind w:left="0" w:firstLine="540"/>
        <w:jc w:val="both"/>
        <w:rPr>
          <w:sz w:val="28"/>
          <w:szCs w:val="28"/>
        </w:rPr>
      </w:pPr>
      <w:r w:rsidRPr="00AF7495">
        <w:rPr>
          <w:sz w:val="28"/>
          <w:szCs w:val="28"/>
        </w:rPr>
        <w:t xml:space="preserve"> 2014 год </w:t>
      </w:r>
      <w:r w:rsidR="0058570C">
        <w:rPr>
          <w:sz w:val="28"/>
          <w:szCs w:val="28"/>
        </w:rPr>
        <w:t>–</w:t>
      </w:r>
      <w:r w:rsidRPr="00AF7495">
        <w:rPr>
          <w:sz w:val="28"/>
          <w:szCs w:val="28"/>
        </w:rPr>
        <w:t xml:space="preserve"> </w:t>
      </w:r>
      <w:r w:rsidR="0047214A">
        <w:rPr>
          <w:sz w:val="28"/>
          <w:szCs w:val="28"/>
        </w:rPr>
        <w:t>445,0</w:t>
      </w:r>
      <w:r w:rsidRPr="00AF7495">
        <w:rPr>
          <w:sz w:val="28"/>
          <w:szCs w:val="28"/>
        </w:rPr>
        <w:t xml:space="preserve"> тыс. рублей, </w:t>
      </w:r>
    </w:p>
    <w:p w:rsidR="005425E8" w:rsidRPr="00AF7495" w:rsidRDefault="005425E8" w:rsidP="00AF7495">
      <w:pPr>
        <w:numPr>
          <w:ilvl w:val="0"/>
          <w:numId w:val="6"/>
        </w:numPr>
        <w:spacing w:before="100" w:beforeAutospacing="1" w:after="100" w:afterAutospacing="1" w:line="276" w:lineRule="auto"/>
        <w:ind w:left="0" w:firstLine="540"/>
        <w:jc w:val="both"/>
        <w:rPr>
          <w:sz w:val="28"/>
          <w:szCs w:val="28"/>
        </w:rPr>
      </w:pPr>
      <w:r w:rsidRPr="00AF7495">
        <w:rPr>
          <w:sz w:val="28"/>
          <w:szCs w:val="28"/>
        </w:rPr>
        <w:t xml:space="preserve"> 2015 год </w:t>
      </w:r>
      <w:r w:rsidR="0058570C">
        <w:rPr>
          <w:sz w:val="28"/>
          <w:szCs w:val="28"/>
        </w:rPr>
        <w:t>–</w:t>
      </w:r>
      <w:r w:rsidRPr="00AF7495">
        <w:rPr>
          <w:sz w:val="28"/>
          <w:szCs w:val="28"/>
        </w:rPr>
        <w:t xml:space="preserve"> </w:t>
      </w:r>
      <w:r w:rsidR="0047214A">
        <w:rPr>
          <w:sz w:val="28"/>
          <w:szCs w:val="28"/>
        </w:rPr>
        <w:t>433,9</w:t>
      </w:r>
      <w:r w:rsidRPr="00AF7495">
        <w:rPr>
          <w:sz w:val="28"/>
          <w:szCs w:val="28"/>
        </w:rPr>
        <w:t xml:space="preserve"> тыс. рублей, </w:t>
      </w:r>
    </w:p>
    <w:p w:rsidR="005425E8" w:rsidRPr="00AF7495" w:rsidRDefault="005425E8" w:rsidP="00AF7495">
      <w:pPr>
        <w:numPr>
          <w:ilvl w:val="0"/>
          <w:numId w:val="6"/>
        </w:numPr>
        <w:spacing w:before="100" w:beforeAutospacing="1" w:after="100" w:afterAutospacing="1" w:line="276" w:lineRule="auto"/>
        <w:ind w:left="0" w:firstLine="540"/>
        <w:jc w:val="both"/>
        <w:rPr>
          <w:sz w:val="28"/>
          <w:szCs w:val="28"/>
        </w:rPr>
      </w:pPr>
      <w:r w:rsidRPr="00AF7495">
        <w:rPr>
          <w:sz w:val="28"/>
          <w:szCs w:val="28"/>
        </w:rPr>
        <w:t xml:space="preserve"> 2016 год </w:t>
      </w:r>
      <w:r w:rsidR="0058570C">
        <w:rPr>
          <w:sz w:val="28"/>
          <w:szCs w:val="28"/>
        </w:rPr>
        <w:t>–</w:t>
      </w:r>
      <w:r w:rsidRPr="00AF7495">
        <w:rPr>
          <w:sz w:val="28"/>
          <w:szCs w:val="28"/>
        </w:rPr>
        <w:t xml:space="preserve"> </w:t>
      </w:r>
      <w:r w:rsidR="0047214A">
        <w:rPr>
          <w:sz w:val="28"/>
          <w:szCs w:val="28"/>
        </w:rPr>
        <w:t>422,8</w:t>
      </w:r>
      <w:r w:rsidRPr="00AF7495">
        <w:rPr>
          <w:sz w:val="28"/>
          <w:szCs w:val="28"/>
        </w:rPr>
        <w:t xml:space="preserve"> тыс. рублей. </w:t>
      </w:r>
    </w:p>
    <w:p w:rsidR="005B016E" w:rsidRDefault="0058570C" w:rsidP="00AF7495">
      <w:pPr>
        <w:spacing w:before="100" w:beforeAutospacing="1" w:after="100" w:afterAutospacing="1" w:line="276" w:lineRule="auto"/>
        <w:ind w:firstLine="540"/>
        <w:jc w:val="both"/>
        <w:rPr>
          <w:sz w:val="28"/>
          <w:szCs w:val="28"/>
        </w:rPr>
      </w:pPr>
      <w:r w:rsidRPr="00AF7495">
        <w:rPr>
          <w:sz w:val="28"/>
          <w:szCs w:val="28"/>
        </w:rPr>
        <w:t xml:space="preserve">В </w:t>
      </w:r>
      <w:r w:rsidRPr="0058570C">
        <w:rPr>
          <w:sz w:val="28"/>
          <w:szCs w:val="28"/>
        </w:rPr>
        <w:t xml:space="preserve">разделе 08 «Культура, кинематография» отражаются расходы на </w:t>
      </w:r>
      <w:r>
        <w:rPr>
          <w:sz w:val="28"/>
          <w:szCs w:val="28"/>
        </w:rPr>
        <w:t>содержание</w:t>
      </w:r>
      <w:r w:rsidRPr="0058570C">
        <w:rPr>
          <w:sz w:val="28"/>
          <w:szCs w:val="28"/>
        </w:rPr>
        <w:t xml:space="preserve"> </w:t>
      </w:r>
      <w:r>
        <w:rPr>
          <w:sz w:val="28"/>
          <w:szCs w:val="28"/>
        </w:rPr>
        <w:t>у</w:t>
      </w:r>
      <w:r w:rsidRPr="0058570C">
        <w:rPr>
          <w:sz w:val="28"/>
          <w:szCs w:val="28"/>
        </w:rPr>
        <w:t>чреждени</w:t>
      </w:r>
      <w:r>
        <w:rPr>
          <w:sz w:val="28"/>
          <w:szCs w:val="28"/>
        </w:rPr>
        <w:t>й</w:t>
      </w:r>
      <w:r w:rsidRPr="0058570C">
        <w:rPr>
          <w:sz w:val="28"/>
          <w:szCs w:val="28"/>
        </w:rPr>
        <w:t xml:space="preserve"> культуры и мероприятия в сфере культуры и кинематографии</w:t>
      </w:r>
      <w:r w:rsidR="005B016E">
        <w:rPr>
          <w:sz w:val="28"/>
          <w:szCs w:val="28"/>
        </w:rPr>
        <w:t>:</w:t>
      </w:r>
      <w:r w:rsidRPr="0058570C">
        <w:rPr>
          <w:sz w:val="28"/>
          <w:szCs w:val="28"/>
        </w:rPr>
        <w:t xml:space="preserve"> </w:t>
      </w:r>
    </w:p>
    <w:p w:rsidR="005B016E" w:rsidRPr="00AF7495" w:rsidRDefault="005B016E" w:rsidP="005B016E">
      <w:pPr>
        <w:numPr>
          <w:ilvl w:val="0"/>
          <w:numId w:val="6"/>
        </w:numPr>
        <w:spacing w:before="100" w:beforeAutospacing="1" w:after="100" w:afterAutospacing="1" w:line="276" w:lineRule="auto"/>
        <w:ind w:left="0" w:firstLine="540"/>
        <w:jc w:val="both"/>
        <w:rPr>
          <w:sz w:val="28"/>
          <w:szCs w:val="28"/>
        </w:rPr>
      </w:pPr>
      <w:r w:rsidRPr="00AF7495">
        <w:rPr>
          <w:sz w:val="28"/>
          <w:szCs w:val="28"/>
        </w:rPr>
        <w:t xml:space="preserve">2014 год </w:t>
      </w:r>
      <w:r>
        <w:rPr>
          <w:sz w:val="28"/>
          <w:szCs w:val="28"/>
        </w:rPr>
        <w:t>–</w:t>
      </w:r>
      <w:r w:rsidRPr="00AF7495">
        <w:rPr>
          <w:sz w:val="28"/>
          <w:szCs w:val="28"/>
        </w:rPr>
        <w:t xml:space="preserve"> </w:t>
      </w:r>
      <w:r w:rsidR="0047214A">
        <w:rPr>
          <w:sz w:val="28"/>
          <w:szCs w:val="28"/>
        </w:rPr>
        <w:t>544,6</w:t>
      </w:r>
      <w:r w:rsidRPr="00AF7495">
        <w:rPr>
          <w:sz w:val="28"/>
          <w:szCs w:val="28"/>
        </w:rPr>
        <w:t xml:space="preserve"> тыс. рублей, </w:t>
      </w:r>
    </w:p>
    <w:p w:rsidR="005B016E" w:rsidRPr="00AF7495" w:rsidRDefault="005B016E" w:rsidP="005B016E">
      <w:pPr>
        <w:numPr>
          <w:ilvl w:val="0"/>
          <w:numId w:val="6"/>
        </w:numPr>
        <w:spacing w:before="100" w:beforeAutospacing="1" w:after="100" w:afterAutospacing="1" w:line="276" w:lineRule="auto"/>
        <w:ind w:left="0" w:firstLine="540"/>
        <w:jc w:val="both"/>
        <w:rPr>
          <w:sz w:val="28"/>
          <w:szCs w:val="28"/>
        </w:rPr>
      </w:pPr>
      <w:r w:rsidRPr="00AF7495">
        <w:rPr>
          <w:sz w:val="28"/>
          <w:szCs w:val="28"/>
        </w:rPr>
        <w:t xml:space="preserve"> 2015 год </w:t>
      </w:r>
      <w:r>
        <w:rPr>
          <w:sz w:val="28"/>
          <w:szCs w:val="28"/>
        </w:rPr>
        <w:t>–</w:t>
      </w:r>
      <w:r w:rsidRPr="00AF7495">
        <w:rPr>
          <w:sz w:val="28"/>
          <w:szCs w:val="28"/>
        </w:rPr>
        <w:t xml:space="preserve"> </w:t>
      </w:r>
      <w:r w:rsidR="0047214A">
        <w:rPr>
          <w:sz w:val="28"/>
          <w:szCs w:val="28"/>
        </w:rPr>
        <w:t xml:space="preserve">540,1 </w:t>
      </w:r>
      <w:r w:rsidRPr="00AF7495">
        <w:rPr>
          <w:sz w:val="28"/>
          <w:szCs w:val="28"/>
        </w:rPr>
        <w:t xml:space="preserve">тыс. рублей, </w:t>
      </w:r>
    </w:p>
    <w:p w:rsidR="005B016E" w:rsidRPr="00AF7495" w:rsidRDefault="005B016E" w:rsidP="005B016E">
      <w:pPr>
        <w:numPr>
          <w:ilvl w:val="0"/>
          <w:numId w:val="6"/>
        </w:numPr>
        <w:spacing w:before="100" w:beforeAutospacing="1" w:after="100" w:afterAutospacing="1" w:line="276" w:lineRule="auto"/>
        <w:ind w:left="0" w:firstLine="540"/>
        <w:jc w:val="both"/>
        <w:rPr>
          <w:sz w:val="28"/>
          <w:szCs w:val="28"/>
        </w:rPr>
      </w:pPr>
      <w:r w:rsidRPr="00AF7495">
        <w:rPr>
          <w:sz w:val="28"/>
          <w:szCs w:val="28"/>
        </w:rPr>
        <w:t xml:space="preserve"> 2016 год </w:t>
      </w:r>
      <w:r>
        <w:rPr>
          <w:sz w:val="28"/>
          <w:szCs w:val="28"/>
        </w:rPr>
        <w:t>–</w:t>
      </w:r>
      <w:r w:rsidRPr="00AF7495">
        <w:rPr>
          <w:sz w:val="28"/>
          <w:szCs w:val="28"/>
        </w:rPr>
        <w:t xml:space="preserve"> </w:t>
      </w:r>
      <w:r w:rsidR="0047214A">
        <w:rPr>
          <w:sz w:val="28"/>
          <w:szCs w:val="28"/>
        </w:rPr>
        <w:t>517,4</w:t>
      </w:r>
      <w:r w:rsidRPr="00AF7495">
        <w:rPr>
          <w:sz w:val="28"/>
          <w:szCs w:val="28"/>
        </w:rPr>
        <w:t xml:space="preserve"> тыс. рублей. </w:t>
      </w:r>
    </w:p>
    <w:p w:rsidR="005425E8" w:rsidRPr="00AF7495" w:rsidRDefault="005425E8" w:rsidP="00AF7495">
      <w:pPr>
        <w:spacing w:before="100" w:beforeAutospacing="1" w:after="100" w:afterAutospacing="1" w:line="276" w:lineRule="auto"/>
        <w:ind w:firstLine="540"/>
        <w:jc w:val="both"/>
        <w:rPr>
          <w:sz w:val="28"/>
          <w:szCs w:val="28"/>
        </w:rPr>
      </w:pPr>
      <w:r w:rsidRPr="00AF7495">
        <w:rPr>
          <w:sz w:val="28"/>
          <w:szCs w:val="28"/>
        </w:rPr>
        <w:t xml:space="preserve">Условно утверждаемые расходы в проекте решения учтены в 2015 году в сумме </w:t>
      </w:r>
      <w:r w:rsidR="0047214A">
        <w:rPr>
          <w:sz w:val="28"/>
          <w:szCs w:val="28"/>
        </w:rPr>
        <w:t>39,3</w:t>
      </w:r>
      <w:r w:rsidRPr="00AF7495">
        <w:rPr>
          <w:sz w:val="28"/>
          <w:szCs w:val="28"/>
        </w:rPr>
        <w:t xml:space="preserve"> тыс. рублей, в 2016 году </w:t>
      </w:r>
      <w:r w:rsidR="0047214A">
        <w:rPr>
          <w:sz w:val="28"/>
          <w:szCs w:val="28"/>
        </w:rPr>
        <w:t>98,2</w:t>
      </w:r>
      <w:r w:rsidRPr="00AF7495">
        <w:rPr>
          <w:sz w:val="28"/>
          <w:szCs w:val="28"/>
        </w:rPr>
        <w:t xml:space="preserve"> тыс. рублей, что составляет 2,</w:t>
      </w:r>
      <w:r w:rsidR="005B016E">
        <w:rPr>
          <w:sz w:val="28"/>
          <w:szCs w:val="28"/>
        </w:rPr>
        <w:t>0</w:t>
      </w:r>
      <w:r w:rsidRPr="00AF7495">
        <w:rPr>
          <w:sz w:val="28"/>
          <w:szCs w:val="28"/>
        </w:rPr>
        <w:t xml:space="preserve"> процента и </w:t>
      </w:r>
      <w:r w:rsidR="005B016E">
        <w:rPr>
          <w:sz w:val="28"/>
          <w:szCs w:val="28"/>
        </w:rPr>
        <w:t>4,</w:t>
      </w:r>
      <w:r w:rsidR="0047214A">
        <w:rPr>
          <w:sz w:val="28"/>
          <w:szCs w:val="28"/>
        </w:rPr>
        <w:t>8</w:t>
      </w:r>
      <w:r w:rsidRPr="00AF7495">
        <w:rPr>
          <w:sz w:val="28"/>
          <w:szCs w:val="28"/>
        </w:rPr>
        <w:t xml:space="preserve"> процентов от общей суммы расходов бюджета</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Снижение расходов обусловлено оптимизацией расходов органов местного самоуправления проводимой в течение текущего финансового года.</w:t>
      </w:r>
    </w:p>
    <w:p w:rsidR="005425E8" w:rsidRPr="00AF7495" w:rsidRDefault="005425E8" w:rsidP="00AF7495">
      <w:pPr>
        <w:spacing w:before="100" w:beforeAutospacing="1" w:after="100" w:afterAutospacing="1" w:line="276" w:lineRule="auto"/>
        <w:ind w:firstLine="567"/>
        <w:jc w:val="both"/>
        <w:rPr>
          <w:sz w:val="28"/>
          <w:szCs w:val="28"/>
        </w:rPr>
      </w:pPr>
      <w:r w:rsidRPr="00AF7495">
        <w:rPr>
          <w:b/>
          <w:bCs/>
          <w:sz w:val="28"/>
          <w:szCs w:val="28"/>
        </w:rPr>
        <w:t xml:space="preserve">            </w:t>
      </w:r>
      <w:r w:rsidR="00DA46B7">
        <w:rPr>
          <w:b/>
          <w:bCs/>
          <w:sz w:val="28"/>
          <w:szCs w:val="28"/>
        </w:rPr>
        <w:t>5</w:t>
      </w:r>
      <w:r w:rsidRPr="00AF7495">
        <w:rPr>
          <w:b/>
          <w:bCs/>
          <w:sz w:val="28"/>
          <w:szCs w:val="28"/>
        </w:rPr>
        <w:t>. Дефицит бюджета и источники его финансирования</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 xml:space="preserve">Проект бюджета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планируется  на 2014 год и последующие 2015-2016 годы принять бездефицитным.</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 xml:space="preserve">В составе источников финансирования дефицита бюджета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учтены следующие виды поступлений и обязательств.</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lastRenderedPageBreak/>
        <w:t>Источники внутреннего финансирования за счет изменения остатков средств на счетах по учету средств бюджета:</w:t>
      </w:r>
    </w:p>
    <w:p w:rsidR="005425E8" w:rsidRPr="00AF7495" w:rsidRDefault="005425E8" w:rsidP="00AF7495">
      <w:pPr>
        <w:numPr>
          <w:ilvl w:val="0"/>
          <w:numId w:val="7"/>
        </w:numPr>
        <w:spacing w:before="100" w:beforeAutospacing="1" w:after="100" w:afterAutospacing="1" w:line="276" w:lineRule="auto"/>
        <w:ind w:left="0" w:firstLine="567"/>
        <w:jc w:val="both"/>
        <w:rPr>
          <w:sz w:val="28"/>
          <w:szCs w:val="28"/>
        </w:rPr>
      </w:pPr>
      <w:r w:rsidRPr="00AF7495">
        <w:rPr>
          <w:sz w:val="28"/>
          <w:szCs w:val="28"/>
        </w:rPr>
        <w:t xml:space="preserve"> Увеличение остатков средств бюджета поселения в 2014 году сформировано в сумме </w:t>
      </w:r>
      <w:r w:rsidR="00BA4792">
        <w:rPr>
          <w:sz w:val="28"/>
          <w:szCs w:val="28"/>
        </w:rPr>
        <w:t>2068,4</w:t>
      </w:r>
      <w:r w:rsidRPr="00AF7495">
        <w:rPr>
          <w:sz w:val="28"/>
          <w:szCs w:val="28"/>
        </w:rPr>
        <w:t xml:space="preserve"> тыс. рублей исходя из суммы доходов бюджета поселения (</w:t>
      </w:r>
      <w:r w:rsidR="00BA4792">
        <w:rPr>
          <w:sz w:val="28"/>
          <w:szCs w:val="28"/>
        </w:rPr>
        <w:t>2068,4</w:t>
      </w:r>
      <w:r w:rsidRPr="00AF7495">
        <w:rPr>
          <w:sz w:val="28"/>
          <w:szCs w:val="28"/>
        </w:rPr>
        <w:t xml:space="preserve"> тыс. рублей). Соответственно, увеличение остатков в 2015 году в сумме </w:t>
      </w:r>
      <w:r w:rsidR="00BA4792">
        <w:rPr>
          <w:sz w:val="28"/>
          <w:szCs w:val="28"/>
        </w:rPr>
        <w:t>2010,5</w:t>
      </w:r>
      <w:r w:rsidRPr="00AF7495">
        <w:rPr>
          <w:sz w:val="28"/>
          <w:szCs w:val="28"/>
        </w:rPr>
        <w:t xml:space="preserve"> тыс. рублей сформировано исходя из суммы доходов бюджета поселения (</w:t>
      </w:r>
      <w:r w:rsidR="00BA4792">
        <w:rPr>
          <w:sz w:val="28"/>
          <w:szCs w:val="28"/>
        </w:rPr>
        <w:t>2010,5</w:t>
      </w:r>
      <w:r w:rsidRPr="00AF7495">
        <w:rPr>
          <w:sz w:val="28"/>
          <w:szCs w:val="28"/>
        </w:rPr>
        <w:t xml:space="preserve"> тыс. рублей). Увеличение остатков в 2016 году планируется в объеме </w:t>
      </w:r>
      <w:r w:rsidR="00BA4792">
        <w:rPr>
          <w:sz w:val="28"/>
          <w:szCs w:val="28"/>
        </w:rPr>
        <w:t>2056,2</w:t>
      </w:r>
      <w:r w:rsidRPr="00AF7495">
        <w:rPr>
          <w:sz w:val="28"/>
          <w:szCs w:val="28"/>
        </w:rPr>
        <w:t xml:space="preserve"> тыс. рублей исходя из планируемых в 2016 году доходов (</w:t>
      </w:r>
      <w:r w:rsidR="00BA4792">
        <w:rPr>
          <w:sz w:val="28"/>
          <w:szCs w:val="28"/>
        </w:rPr>
        <w:t>2056,2</w:t>
      </w:r>
      <w:r w:rsidRPr="00AF7495">
        <w:rPr>
          <w:sz w:val="28"/>
          <w:szCs w:val="28"/>
        </w:rPr>
        <w:t xml:space="preserve"> тыс. рублей). </w:t>
      </w:r>
    </w:p>
    <w:p w:rsidR="005425E8" w:rsidRPr="00AF7495" w:rsidRDefault="005425E8" w:rsidP="00AF7495">
      <w:pPr>
        <w:numPr>
          <w:ilvl w:val="0"/>
          <w:numId w:val="7"/>
        </w:numPr>
        <w:spacing w:before="100" w:beforeAutospacing="1" w:after="100" w:afterAutospacing="1" w:line="276" w:lineRule="auto"/>
        <w:ind w:left="0" w:firstLine="567"/>
        <w:jc w:val="both"/>
        <w:rPr>
          <w:sz w:val="28"/>
          <w:szCs w:val="28"/>
        </w:rPr>
      </w:pPr>
      <w:r w:rsidRPr="00AF7495">
        <w:rPr>
          <w:sz w:val="28"/>
          <w:szCs w:val="28"/>
        </w:rPr>
        <w:t xml:space="preserve">Уменьшение остатков средств бюджета поселения в 2014 году сформировано в сумме </w:t>
      </w:r>
      <w:r w:rsidR="00BA4792">
        <w:rPr>
          <w:sz w:val="28"/>
          <w:szCs w:val="28"/>
        </w:rPr>
        <w:t>2068,4</w:t>
      </w:r>
      <w:r w:rsidR="00293847" w:rsidRPr="00AF7495">
        <w:rPr>
          <w:sz w:val="28"/>
          <w:szCs w:val="28"/>
        </w:rPr>
        <w:t xml:space="preserve"> </w:t>
      </w:r>
      <w:r w:rsidRPr="00AF7495">
        <w:rPr>
          <w:sz w:val="28"/>
          <w:szCs w:val="28"/>
        </w:rPr>
        <w:t>тыс. рублей исходя из суммы расходов бюджета поселения на 2014 год (</w:t>
      </w:r>
      <w:r w:rsidR="00BA4792">
        <w:rPr>
          <w:sz w:val="28"/>
          <w:szCs w:val="28"/>
        </w:rPr>
        <w:t>2068,4</w:t>
      </w:r>
      <w:r w:rsidR="00293847" w:rsidRPr="00AF7495">
        <w:rPr>
          <w:sz w:val="28"/>
          <w:szCs w:val="28"/>
        </w:rPr>
        <w:t xml:space="preserve"> </w:t>
      </w:r>
      <w:r w:rsidRPr="00AF7495">
        <w:rPr>
          <w:sz w:val="28"/>
          <w:szCs w:val="28"/>
        </w:rPr>
        <w:t xml:space="preserve">тыс. рублей). Соответственно, уменьшение остатков средств бюджета поселения в 2015 году планируется в сумме </w:t>
      </w:r>
      <w:r w:rsidR="00BA4792">
        <w:rPr>
          <w:sz w:val="28"/>
          <w:szCs w:val="28"/>
        </w:rPr>
        <w:t>2010,5</w:t>
      </w:r>
      <w:r w:rsidR="00293847">
        <w:rPr>
          <w:sz w:val="28"/>
          <w:szCs w:val="28"/>
        </w:rPr>
        <w:t xml:space="preserve"> </w:t>
      </w:r>
      <w:r w:rsidRPr="00AF7495">
        <w:rPr>
          <w:sz w:val="28"/>
          <w:szCs w:val="28"/>
        </w:rPr>
        <w:t>тыс. рублей исходя из суммы расходов бюджета поселения (</w:t>
      </w:r>
      <w:r w:rsidR="00BA4792">
        <w:rPr>
          <w:sz w:val="28"/>
          <w:szCs w:val="28"/>
        </w:rPr>
        <w:t>2010,5</w:t>
      </w:r>
      <w:r w:rsidR="00293847">
        <w:rPr>
          <w:sz w:val="28"/>
          <w:szCs w:val="28"/>
        </w:rPr>
        <w:t xml:space="preserve"> </w:t>
      </w:r>
      <w:r w:rsidRPr="00AF7495">
        <w:rPr>
          <w:sz w:val="28"/>
          <w:szCs w:val="28"/>
        </w:rPr>
        <w:t xml:space="preserve">тыс. рублей). Уменьшение остатков средств бюджета поселения в 2016 году планируется в сумме </w:t>
      </w:r>
      <w:r w:rsidR="00BA4792">
        <w:rPr>
          <w:sz w:val="28"/>
          <w:szCs w:val="28"/>
        </w:rPr>
        <w:t>2056,2</w:t>
      </w:r>
      <w:r w:rsidR="00293847" w:rsidRPr="00AF7495">
        <w:rPr>
          <w:sz w:val="28"/>
          <w:szCs w:val="28"/>
        </w:rPr>
        <w:t xml:space="preserve"> </w:t>
      </w:r>
      <w:r w:rsidRPr="00AF7495">
        <w:rPr>
          <w:sz w:val="28"/>
          <w:szCs w:val="28"/>
        </w:rPr>
        <w:t>тыс. рублей исходя из суммы планируемых в 2016 году расходов (</w:t>
      </w:r>
      <w:r w:rsidR="00BA4792">
        <w:rPr>
          <w:sz w:val="28"/>
          <w:szCs w:val="28"/>
        </w:rPr>
        <w:t>2056,2</w:t>
      </w:r>
      <w:r w:rsidR="00293847" w:rsidRPr="00AF7495">
        <w:rPr>
          <w:sz w:val="28"/>
          <w:szCs w:val="28"/>
        </w:rPr>
        <w:t xml:space="preserve"> </w:t>
      </w:r>
      <w:r w:rsidRPr="00AF7495">
        <w:rPr>
          <w:sz w:val="28"/>
          <w:szCs w:val="28"/>
        </w:rPr>
        <w:t xml:space="preserve">тыс. рублей). </w:t>
      </w:r>
    </w:p>
    <w:p w:rsidR="005425E8" w:rsidRPr="00AF7495" w:rsidRDefault="00DA46B7" w:rsidP="00AF7495">
      <w:pPr>
        <w:spacing w:before="100" w:beforeAutospacing="1" w:after="100" w:afterAutospacing="1" w:line="276" w:lineRule="auto"/>
        <w:ind w:firstLine="567"/>
        <w:jc w:val="both"/>
        <w:rPr>
          <w:sz w:val="28"/>
          <w:szCs w:val="28"/>
        </w:rPr>
      </w:pPr>
      <w:r>
        <w:rPr>
          <w:b/>
          <w:bCs/>
          <w:sz w:val="28"/>
          <w:szCs w:val="28"/>
        </w:rPr>
        <w:t>6</w:t>
      </w:r>
      <w:r w:rsidR="005425E8" w:rsidRPr="00AF7495">
        <w:rPr>
          <w:b/>
          <w:bCs/>
          <w:sz w:val="28"/>
          <w:szCs w:val="28"/>
        </w:rPr>
        <w:t>. Муниципальный долг, расходы на обслуживание муниципальных долговых обязательств</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В представленных информациях</w:t>
      </w:r>
      <w:r w:rsidRPr="00AF7495">
        <w:rPr>
          <w:b/>
          <w:bCs/>
          <w:sz w:val="28"/>
          <w:szCs w:val="28"/>
        </w:rPr>
        <w:t xml:space="preserve"> м</w:t>
      </w:r>
      <w:r w:rsidRPr="00AF7495">
        <w:rPr>
          <w:sz w:val="28"/>
          <w:szCs w:val="28"/>
        </w:rPr>
        <w:t>униципальные внутренние и внешние заимствования по состоянию на 1 января 2014 года отсутствуют и в плановом периоде 2014-2015 годов не осуществляются. С учетом этого Программа муниципальных внутренних заимствований на 2014-2016 годы не составляется - бюджетные средства не предусмотрены.</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В соответствии с требованиями статьи 61 Бюджетного кодекса Республики Татарстан в представленной информации в 2014 году и плановом периоде 2015 и 2016 годах,  предоставление муниципальных гарантий сельского поселения в 2014-2016 годах не планируется. С учетом этого Программы муниципальных гарантий сельского поселения на 2014 год и на плановый период 2015 и 2016 годы не составляются - бюджетные средства не предусмотрены.</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Бюджетные кредиты из бюджета сельского поселения в 2014-2016 годах  не предоставляются. С учетом этого Программа предоставления бюджетных кредитов на 2014-2016 годы не составляется и бюджетные средства не предусмотрены.</w:t>
      </w:r>
    </w:p>
    <w:p w:rsidR="005425E8" w:rsidRPr="00AF7495" w:rsidRDefault="00DA46B7" w:rsidP="00AF7495">
      <w:pPr>
        <w:spacing w:before="100" w:beforeAutospacing="1" w:after="100" w:afterAutospacing="1" w:line="276" w:lineRule="auto"/>
        <w:ind w:firstLine="567"/>
        <w:jc w:val="both"/>
        <w:rPr>
          <w:sz w:val="28"/>
          <w:szCs w:val="28"/>
        </w:rPr>
      </w:pPr>
      <w:r>
        <w:rPr>
          <w:b/>
          <w:bCs/>
          <w:sz w:val="28"/>
          <w:szCs w:val="28"/>
        </w:rPr>
        <w:lastRenderedPageBreak/>
        <w:t>7.</w:t>
      </w:r>
      <w:r w:rsidR="005425E8" w:rsidRPr="00AF7495">
        <w:rPr>
          <w:b/>
          <w:bCs/>
          <w:sz w:val="28"/>
          <w:szCs w:val="28"/>
        </w:rPr>
        <w:t> Выводы и заключение</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 xml:space="preserve">Проект решения Совета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«О бюджете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на 2014 год и на плановый период 2015 и 2016 годов» подготовлен в соответствии с Бюджетным кодексом Российской Федерации, Бюджетным кодексом Республики Татарстан и Положением о Бюджетном процессе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 xml:space="preserve">Проектом решения предлагается утвердить общий объем доходов бюджета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на 2014 год в сумме </w:t>
      </w:r>
      <w:r w:rsidR="00BA4792">
        <w:rPr>
          <w:sz w:val="28"/>
          <w:szCs w:val="28"/>
        </w:rPr>
        <w:t>2068,4</w:t>
      </w:r>
      <w:r w:rsidRPr="00AF7495">
        <w:rPr>
          <w:sz w:val="28"/>
          <w:szCs w:val="28"/>
        </w:rPr>
        <w:t xml:space="preserve"> тыс. рублей, на 2015 год в сумме </w:t>
      </w:r>
      <w:r w:rsidR="00BA4792">
        <w:rPr>
          <w:sz w:val="28"/>
          <w:szCs w:val="28"/>
        </w:rPr>
        <w:t>2010,5</w:t>
      </w:r>
      <w:r w:rsidRPr="00AF7495">
        <w:rPr>
          <w:sz w:val="28"/>
          <w:szCs w:val="28"/>
        </w:rPr>
        <w:t xml:space="preserve"> тыс. рублей и на 2016 год в сумме </w:t>
      </w:r>
      <w:r w:rsidR="00BA4792">
        <w:rPr>
          <w:sz w:val="28"/>
          <w:szCs w:val="28"/>
        </w:rPr>
        <w:t>2056,2</w:t>
      </w:r>
      <w:r w:rsidRPr="00AF7495">
        <w:rPr>
          <w:sz w:val="28"/>
          <w:szCs w:val="28"/>
        </w:rPr>
        <w:t xml:space="preserve"> тыс. рублей.</w:t>
      </w:r>
    </w:p>
    <w:p w:rsidR="005425E8" w:rsidRPr="00AF7495" w:rsidRDefault="005425E8" w:rsidP="00AF7495">
      <w:pPr>
        <w:spacing w:before="100" w:beforeAutospacing="1" w:after="100" w:afterAutospacing="1" w:line="276" w:lineRule="auto"/>
        <w:ind w:firstLine="567"/>
        <w:jc w:val="both"/>
        <w:rPr>
          <w:sz w:val="28"/>
          <w:szCs w:val="28"/>
        </w:rPr>
      </w:pPr>
      <w:proofErr w:type="gramStart"/>
      <w:r w:rsidRPr="00AF7495">
        <w:rPr>
          <w:sz w:val="28"/>
          <w:szCs w:val="28"/>
        </w:rPr>
        <w:t xml:space="preserve">Общий объем расходов бюджета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предусматривается проектом решения в 2014 году в сумме  </w:t>
      </w:r>
      <w:r w:rsidR="00BA4792">
        <w:rPr>
          <w:sz w:val="28"/>
          <w:szCs w:val="28"/>
        </w:rPr>
        <w:t>2068,4</w:t>
      </w:r>
      <w:r w:rsidRPr="00AF7495">
        <w:rPr>
          <w:sz w:val="28"/>
          <w:szCs w:val="28"/>
        </w:rPr>
        <w:t xml:space="preserve"> тыс. рублей, в 2015 году в сумме </w:t>
      </w:r>
      <w:r w:rsidR="00BA4792">
        <w:rPr>
          <w:sz w:val="28"/>
          <w:szCs w:val="28"/>
        </w:rPr>
        <w:t>2010,5</w:t>
      </w:r>
      <w:r w:rsidRPr="00AF7495">
        <w:rPr>
          <w:sz w:val="28"/>
          <w:szCs w:val="28"/>
        </w:rPr>
        <w:t xml:space="preserve"> тыс. рублей, в том числе условно утвержденные расходы </w:t>
      </w:r>
      <w:r w:rsidR="00293847">
        <w:rPr>
          <w:sz w:val="28"/>
          <w:szCs w:val="28"/>
        </w:rPr>
        <w:t>–</w:t>
      </w:r>
      <w:r w:rsidRPr="00AF7495">
        <w:rPr>
          <w:sz w:val="28"/>
          <w:szCs w:val="28"/>
        </w:rPr>
        <w:t xml:space="preserve"> </w:t>
      </w:r>
      <w:r w:rsidR="0047214A">
        <w:rPr>
          <w:sz w:val="28"/>
          <w:szCs w:val="28"/>
        </w:rPr>
        <w:t>39,3</w:t>
      </w:r>
      <w:r w:rsidRPr="00AF7495">
        <w:rPr>
          <w:sz w:val="28"/>
          <w:szCs w:val="28"/>
        </w:rPr>
        <w:t xml:space="preserve"> тыс. рублей, и в 2016 году в сумме </w:t>
      </w:r>
      <w:r w:rsidR="00BA4792">
        <w:rPr>
          <w:sz w:val="28"/>
          <w:szCs w:val="28"/>
        </w:rPr>
        <w:t>2056,2</w:t>
      </w:r>
      <w:r w:rsidRPr="00AF7495">
        <w:rPr>
          <w:sz w:val="28"/>
          <w:szCs w:val="28"/>
        </w:rPr>
        <w:t xml:space="preserve"> тыс. рублей, в том числе условно утвержденные расходы </w:t>
      </w:r>
      <w:r w:rsidR="00293847">
        <w:rPr>
          <w:sz w:val="28"/>
          <w:szCs w:val="28"/>
        </w:rPr>
        <w:t>–</w:t>
      </w:r>
      <w:r w:rsidRPr="00AF7495">
        <w:rPr>
          <w:sz w:val="28"/>
          <w:szCs w:val="28"/>
        </w:rPr>
        <w:t xml:space="preserve"> </w:t>
      </w:r>
      <w:r w:rsidR="0047214A">
        <w:rPr>
          <w:sz w:val="28"/>
          <w:szCs w:val="28"/>
        </w:rPr>
        <w:t>98,2</w:t>
      </w:r>
      <w:r w:rsidRPr="00AF7495">
        <w:rPr>
          <w:sz w:val="28"/>
          <w:szCs w:val="28"/>
        </w:rPr>
        <w:t xml:space="preserve"> тыс. рублей.</w:t>
      </w:r>
      <w:proofErr w:type="gramEnd"/>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 xml:space="preserve">Проект бюджета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планируется принять бездефицитным.</w:t>
      </w:r>
    </w:p>
    <w:p w:rsidR="005425E8" w:rsidRPr="00AF7495" w:rsidRDefault="005425E8" w:rsidP="00AF7495">
      <w:pPr>
        <w:spacing w:before="100" w:beforeAutospacing="1" w:after="100" w:afterAutospacing="1" w:line="276" w:lineRule="auto"/>
        <w:ind w:firstLine="567"/>
        <w:jc w:val="both"/>
        <w:rPr>
          <w:sz w:val="28"/>
          <w:szCs w:val="28"/>
        </w:rPr>
      </w:pPr>
      <w:r w:rsidRPr="00AF7495">
        <w:rPr>
          <w:sz w:val="28"/>
          <w:szCs w:val="28"/>
        </w:rPr>
        <w:t xml:space="preserve">Таким образом, показатели бюджета </w:t>
      </w:r>
      <w:proofErr w:type="spellStart"/>
      <w:r w:rsidR="00B34255">
        <w:rPr>
          <w:sz w:val="28"/>
          <w:szCs w:val="28"/>
        </w:rPr>
        <w:t>Верхнеошмин</w:t>
      </w:r>
      <w:r w:rsidRPr="00AF7495">
        <w:rPr>
          <w:sz w:val="28"/>
          <w:szCs w:val="28"/>
        </w:rPr>
        <w:t>ского</w:t>
      </w:r>
      <w:proofErr w:type="spellEnd"/>
      <w:r w:rsidRPr="00AF7495">
        <w:rPr>
          <w:sz w:val="28"/>
          <w:szCs w:val="28"/>
        </w:rPr>
        <w:t xml:space="preserve"> сельского поселения на 2014-2016 годы, предусмотренные проектом решения, сбалансированы.</w:t>
      </w:r>
    </w:p>
    <w:p w:rsidR="005425E8" w:rsidRPr="00121E2B" w:rsidRDefault="000A6C9E" w:rsidP="00AF7495">
      <w:pPr>
        <w:spacing w:before="100" w:beforeAutospacing="1" w:after="100" w:afterAutospacing="1" w:line="276" w:lineRule="auto"/>
        <w:ind w:firstLine="567"/>
        <w:jc w:val="both"/>
        <w:rPr>
          <w:sz w:val="28"/>
          <w:szCs w:val="28"/>
        </w:rPr>
      </w:pPr>
      <w:proofErr w:type="gramStart"/>
      <w:r>
        <w:rPr>
          <w:sz w:val="28"/>
          <w:szCs w:val="28"/>
        </w:rPr>
        <w:t xml:space="preserve">Согласно представленным проекту решения и ожидаемому прогнозу социально-экономического развития поселения считаю, </w:t>
      </w:r>
      <w:r w:rsidR="005425E8" w:rsidRPr="00121E2B">
        <w:rPr>
          <w:sz w:val="28"/>
          <w:szCs w:val="28"/>
        </w:rPr>
        <w:t xml:space="preserve"> бюджет </w:t>
      </w:r>
      <w:proofErr w:type="spellStart"/>
      <w:r w:rsidR="00B34255">
        <w:rPr>
          <w:sz w:val="28"/>
          <w:szCs w:val="28"/>
        </w:rPr>
        <w:t>Верхнеошмин</w:t>
      </w:r>
      <w:r w:rsidR="005425E8" w:rsidRPr="00121E2B">
        <w:rPr>
          <w:sz w:val="28"/>
          <w:szCs w:val="28"/>
        </w:rPr>
        <w:t>ского</w:t>
      </w:r>
      <w:proofErr w:type="spellEnd"/>
      <w:r w:rsidR="005425E8" w:rsidRPr="00121E2B">
        <w:rPr>
          <w:sz w:val="28"/>
          <w:szCs w:val="28"/>
        </w:rPr>
        <w:t xml:space="preserve"> сельского поселения на 2014 год и на плановый период 2015 и 2016 годов </w:t>
      </w:r>
      <w:r w:rsidR="00293847" w:rsidRPr="00121E2B">
        <w:rPr>
          <w:sz w:val="28"/>
          <w:szCs w:val="28"/>
        </w:rPr>
        <w:t xml:space="preserve">соответствует </w:t>
      </w:r>
      <w:r>
        <w:rPr>
          <w:sz w:val="28"/>
          <w:szCs w:val="28"/>
        </w:rPr>
        <w:t xml:space="preserve">требованиям, предъявляемым бюджетным законодательством к формированию проекта бюджета и его содержанию. </w:t>
      </w:r>
      <w:proofErr w:type="gramEnd"/>
    </w:p>
    <w:p w:rsidR="00336F56" w:rsidRPr="00BD4498" w:rsidRDefault="00336F56" w:rsidP="00BD4498">
      <w:pPr>
        <w:spacing w:line="276" w:lineRule="auto"/>
        <w:ind w:firstLine="540"/>
        <w:jc w:val="both"/>
        <w:rPr>
          <w:color w:val="FF0000"/>
          <w:sz w:val="28"/>
          <w:szCs w:val="28"/>
        </w:rPr>
      </w:pPr>
    </w:p>
    <w:p w:rsidR="00336F56" w:rsidRPr="00BD4498" w:rsidRDefault="00336F56" w:rsidP="00BD4498">
      <w:pPr>
        <w:spacing w:line="276" w:lineRule="auto"/>
        <w:ind w:firstLine="540"/>
        <w:jc w:val="both"/>
        <w:rPr>
          <w:color w:val="FF0000"/>
          <w:sz w:val="28"/>
          <w:szCs w:val="28"/>
        </w:rPr>
      </w:pPr>
    </w:p>
    <w:p w:rsidR="00336F56" w:rsidRPr="00BD4498" w:rsidRDefault="00336F56" w:rsidP="00BD4498">
      <w:pPr>
        <w:spacing w:line="276" w:lineRule="auto"/>
        <w:ind w:firstLine="540"/>
        <w:jc w:val="both"/>
        <w:rPr>
          <w:color w:val="FF0000"/>
          <w:sz w:val="28"/>
          <w:szCs w:val="28"/>
        </w:rPr>
      </w:pPr>
    </w:p>
    <w:p w:rsidR="00336F56" w:rsidRPr="00BD4498" w:rsidRDefault="00336F56" w:rsidP="00BD4498">
      <w:pPr>
        <w:spacing w:line="276" w:lineRule="auto"/>
        <w:ind w:firstLine="540"/>
        <w:jc w:val="both"/>
        <w:rPr>
          <w:sz w:val="28"/>
          <w:szCs w:val="28"/>
        </w:rPr>
      </w:pPr>
      <w:r w:rsidRPr="00BD4498">
        <w:rPr>
          <w:sz w:val="28"/>
          <w:szCs w:val="28"/>
        </w:rPr>
        <w:t>Председатель контрольно-</w:t>
      </w:r>
    </w:p>
    <w:p w:rsidR="00336F56" w:rsidRPr="00BD4498" w:rsidRDefault="00336F56" w:rsidP="00BD4498">
      <w:pPr>
        <w:spacing w:line="276" w:lineRule="auto"/>
        <w:ind w:firstLine="540"/>
        <w:jc w:val="both"/>
        <w:rPr>
          <w:sz w:val="28"/>
          <w:szCs w:val="28"/>
        </w:rPr>
      </w:pPr>
      <w:r w:rsidRPr="00BD4498">
        <w:rPr>
          <w:sz w:val="28"/>
          <w:szCs w:val="28"/>
        </w:rPr>
        <w:t>счетной палаты Мамадышского</w:t>
      </w:r>
    </w:p>
    <w:p w:rsidR="00336F56" w:rsidRDefault="00336F56" w:rsidP="00BD4498">
      <w:pPr>
        <w:spacing w:line="276" w:lineRule="auto"/>
        <w:ind w:firstLine="540"/>
        <w:jc w:val="both"/>
      </w:pPr>
      <w:r w:rsidRPr="00BD4498">
        <w:rPr>
          <w:sz w:val="28"/>
          <w:szCs w:val="28"/>
        </w:rPr>
        <w:t>муниципального района                                                    Ф.М. Низамиев</w:t>
      </w:r>
      <w:r w:rsidRPr="00BD4498">
        <w:rPr>
          <w:sz w:val="28"/>
          <w:szCs w:val="28"/>
        </w:rPr>
        <w:br/>
      </w:r>
    </w:p>
    <w:sectPr w:rsidR="00336F56" w:rsidSect="00791892">
      <w:headerReference w:type="default" r:id="rId13"/>
      <w:footerReference w:type="default" r:id="rId14"/>
      <w:pgSz w:w="11906" w:h="16838"/>
      <w:pgMar w:top="993" w:right="850" w:bottom="993" w:left="1701" w:header="360" w:footer="1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C1" w:rsidRDefault="000617C1">
      <w:r>
        <w:separator/>
      </w:r>
    </w:p>
  </w:endnote>
  <w:endnote w:type="continuationSeparator" w:id="0">
    <w:p w:rsidR="000617C1" w:rsidRDefault="0006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C5" w:rsidRDefault="00DE38C5" w:rsidP="00017D7F">
    <w:pPr>
      <w:pStyle w:val="a3"/>
      <w:ind w:right="360"/>
    </w:pPr>
  </w:p>
  <w:p w:rsidR="00DE38C5" w:rsidRDefault="00DE38C5" w:rsidP="00017D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C1" w:rsidRDefault="000617C1">
      <w:r>
        <w:separator/>
      </w:r>
    </w:p>
  </w:footnote>
  <w:footnote w:type="continuationSeparator" w:id="0">
    <w:p w:rsidR="000617C1" w:rsidRDefault="0006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C5" w:rsidRDefault="00DE38C5" w:rsidP="00444DD1">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D18F5">
      <w:rPr>
        <w:rStyle w:val="a5"/>
        <w:noProof/>
      </w:rPr>
      <w:t>13</w:t>
    </w:r>
    <w:r>
      <w:rPr>
        <w:rStyle w:val="a5"/>
      </w:rPr>
      <w:fldChar w:fldCharType="end"/>
    </w:r>
  </w:p>
  <w:p w:rsidR="00DE38C5" w:rsidRDefault="00DE38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74C"/>
    <w:multiLevelType w:val="multilevel"/>
    <w:tmpl w:val="A18A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B04BA"/>
    <w:multiLevelType w:val="hybridMultilevel"/>
    <w:tmpl w:val="BC92C79A"/>
    <w:lvl w:ilvl="0" w:tplc="EA4858E4">
      <w:start w:val="1"/>
      <w:numFmt w:val="decimal"/>
      <w:lvlText w:val="%1."/>
      <w:lvlJc w:val="left"/>
      <w:pPr>
        <w:tabs>
          <w:tab w:val="num" w:pos="3375"/>
        </w:tabs>
        <w:ind w:left="3375" w:hanging="360"/>
      </w:pPr>
      <w:rPr>
        <w:rFonts w:hint="default"/>
      </w:rPr>
    </w:lvl>
    <w:lvl w:ilvl="1" w:tplc="04190019">
      <w:start w:val="1"/>
      <w:numFmt w:val="lowerLetter"/>
      <w:lvlText w:val="%2."/>
      <w:lvlJc w:val="left"/>
      <w:pPr>
        <w:tabs>
          <w:tab w:val="num" w:pos="4095"/>
        </w:tabs>
        <w:ind w:left="4095" w:hanging="360"/>
      </w:pPr>
    </w:lvl>
    <w:lvl w:ilvl="2" w:tplc="0419001B">
      <w:start w:val="1"/>
      <w:numFmt w:val="lowerRoman"/>
      <w:lvlText w:val="%3."/>
      <w:lvlJc w:val="right"/>
      <w:pPr>
        <w:tabs>
          <w:tab w:val="num" w:pos="4815"/>
        </w:tabs>
        <w:ind w:left="4815" w:hanging="180"/>
      </w:pPr>
    </w:lvl>
    <w:lvl w:ilvl="3" w:tplc="0419000F">
      <w:start w:val="1"/>
      <w:numFmt w:val="decimal"/>
      <w:lvlText w:val="%4."/>
      <w:lvlJc w:val="left"/>
      <w:pPr>
        <w:tabs>
          <w:tab w:val="num" w:pos="5535"/>
        </w:tabs>
        <w:ind w:left="5535" w:hanging="360"/>
      </w:pPr>
    </w:lvl>
    <w:lvl w:ilvl="4" w:tplc="04190019">
      <w:start w:val="1"/>
      <w:numFmt w:val="lowerLetter"/>
      <w:lvlText w:val="%5."/>
      <w:lvlJc w:val="left"/>
      <w:pPr>
        <w:tabs>
          <w:tab w:val="num" w:pos="6255"/>
        </w:tabs>
        <w:ind w:left="6255" w:hanging="360"/>
      </w:pPr>
    </w:lvl>
    <w:lvl w:ilvl="5" w:tplc="0419001B">
      <w:start w:val="1"/>
      <w:numFmt w:val="lowerRoman"/>
      <w:lvlText w:val="%6."/>
      <w:lvlJc w:val="right"/>
      <w:pPr>
        <w:tabs>
          <w:tab w:val="num" w:pos="6975"/>
        </w:tabs>
        <w:ind w:left="6975" w:hanging="180"/>
      </w:pPr>
    </w:lvl>
    <w:lvl w:ilvl="6" w:tplc="0419000F">
      <w:start w:val="1"/>
      <w:numFmt w:val="decimal"/>
      <w:lvlText w:val="%7."/>
      <w:lvlJc w:val="left"/>
      <w:pPr>
        <w:tabs>
          <w:tab w:val="num" w:pos="7695"/>
        </w:tabs>
        <w:ind w:left="7695" w:hanging="360"/>
      </w:pPr>
    </w:lvl>
    <w:lvl w:ilvl="7" w:tplc="04190019">
      <w:start w:val="1"/>
      <w:numFmt w:val="lowerLetter"/>
      <w:lvlText w:val="%8."/>
      <w:lvlJc w:val="left"/>
      <w:pPr>
        <w:tabs>
          <w:tab w:val="num" w:pos="8415"/>
        </w:tabs>
        <w:ind w:left="8415" w:hanging="360"/>
      </w:pPr>
    </w:lvl>
    <w:lvl w:ilvl="8" w:tplc="0419001B">
      <w:start w:val="1"/>
      <w:numFmt w:val="lowerRoman"/>
      <w:lvlText w:val="%9."/>
      <w:lvlJc w:val="right"/>
      <w:pPr>
        <w:tabs>
          <w:tab w:val="num" w:pos="9135"/>
        </w:tabs>
        <w:ind w:left="9135" w:hanging="180"/>
      </w:pPr>
    </w:lvl>
  </w:abstractNum>
  <w:abstractNum w:abstractNumId="2">
    <w:nsid w:val="34CE10A4"/>
    <w:multiLevelType w:val="multilevel"/>
    <w:tmpl w:val="11F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41E8"/>
    <w:multiLevelType w:val="multilevel"/>
    <w:tmpl w:val="236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970E4"/>
    <w:multiLevelType w:val="multilevel"/>
    <w:tmpl w:val="62C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6248A"/>
    <w:multiLevelType w:val="hybridMultilevel"/>
    <w:tmpl w:val="14CADF70"/>
    <w:lvl w:ilvl="0" w:tplc="24D4485A">
      <w:start w:val="1"/>
      <w:numFmt w:val="decimal"/>
      <w:lvlText w:val="%1."/>
      <w:lvlJc w:val="left"/>
      <w:pPr>
        <w:ind w:left="3855" w:hanging="360"/>
      </w:pPr>
      <w:rPr>
        <w:rFonts w:hint="default"/>
        <w:color w:val="auto"/>
        <w:sz w:val="24"/>
      </w:rPr>
    </w:lvl>
    <w:lvl w:ilvl="1" w:tplc="04190019" w:tentative="1">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6">
    <w:nsid w:val="788F5186"/>
    <w:multiLevelType w:val="hybridMultilevel"/>
    <w:tmpl w:val="7DDABB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851"/>
    <w:rsid w:val="00001805"/>
    <w:rsid w:val="000063A7"/>
    <w:rsid w:val="00006CE5"/>
    <w:rsid w:val="0000719F"/>
    <w:rsid w:val="00007820"/>
    <w:rsid w:val="000113C2"/>
    <w:rsid w:val="00011F9B"/>
    <w:rsid w:val="00016BDE"/>
    <w:rsid w:val="00017021"/>
    <w:rsid w:val="00017464"/>
    <w:rsid w:val="00017D7F"/>
    <w:rsid w:val="00017DE8"/>
    <w:rsid w:val="000204C1"/>
    <w:rsid w:val="00023AC4"/>
    <w:rsid w:val="00031F30"/>
    <w:rsid w:val="00034292"/>
    <w:rsid w:val="000349E4"/>
    <w:rsid w:val="000351BB"/>
    <w:rsid w:val="00036387"/>
    <w:rsid w:val="00040487"/>
    <w:rsid w:val="00040C5B"/>
    <w:rsid w:val="00042D11"/>
    <w:rsid w:val="00051E6B"/>
    <w:rsid w:val="00054913"/>
    <w:rsid w:val="000559CE"/>
    <w:rsid w:val="000601F3"/>
    <w:rsid w:val="000603A8"/>
    <w:rsid w:val="000617C1"/>
    <w:rsid w:val="000639D8"/>
    <w:rsid w:val="000673A5"/>
    <w:rsid w:val="0007365E"/>
    <w:rsid w:val="00087EDC"/>
    <w:rsid w:val="000901DB"/>
    <w:rsid w:val="00095792"/>
    <w:rsid w:val="00097E12"/>
    <w:rsid w:val="000A2DCE"/>
    <w:rsid w:val="000A4386"/>
    <w:rsid w:val="000A4CBD"/>
    <w:rsid w:val="000A518F"/>
    <w:rsid w:val="000A65EF"/>
    <w:rsid w:val="000A694E"/>
    <w:rsid w:val="000A6C9E"/>
    <w:rsid w:val="000A6FE6"/>
    <w:rsid w:val="000A7B05"/>
    <w:rsid w:val="000B4EA9"/>
    <w:rsid w:val="000B6AC8"/>
    <w:rsid w:val="000B6DD5"/>
    <w:rsid w:val="000C00E0"/>
    <w:rsid w:val="000C5CB8"/>
    <w:rsid w:val="000C678E"/>
    <w:rsid w:val="000C79D4"/>
    <w:rsid w:val="000D251A"/>
    <w:rsid w:val="000D3E45"/>
    <w:rsid w:val="000D5F09"/>
    <w:rsid w:val="000E1D98"/>
    <w:rsid w:val="000E2525"/>
    <w:rsid w:val="000E2B1A"/>
    <w:rsid w:val="000E3BB2"/>
    <w:rsid w:val="000F083E"/>
    <w:rsid w:val="000F5704"/>
    <w:rsid w:val="000F58B1"/>
    <w:rsid w:val="000F6ADC"/>
    <w:rsid w:val="000F6F4F"/>
    <w:rsid w:val="000F7F92"/>
    <w:rsid w:val="001006E2"/>
    <w:rsid w:val="00106537"/>
    <w:rsid w:val="00106561"/>
    <w:rsid w:val="00117311"/>
    <w:rsid w:val="001175AD"/>
    <w:rsid w:val="0012126C"/>
    <w:rsid w:val="00121E2B"/>
    <w:rsid w:val="001241E1"/>
    <w:rsid w:val="00124220"/>
    <w:rsid w:val="0012513E"/>
    <w:rsid w:val="00125792"/>
    <w:rsid w:val="00125895"/>
    <w:rsid w:val="00126B89"/>
    <w:rsid w:val="00132EA3"/>
    <w:rsid w:val="00133D96"/>
    <w:rsid w:val="00137011"/>
    <w:rsid w:val="001372CC"/>
    <w:rsid w:val="0013742F"/>
    <w:rsid w:val="001377B0"/>
    <w:rsid w:val="0014002E"/>
    <w:rsid w:val="001405AA"/>
    <w:rsid w:val="00140A0C"/>
    <w:rsid w:val="001410CE"/>
    <w:rsid w:val="00142F22"/>
    <w:rsid w:val="00143D05"/>
    <w:rsid w:val="001462D7"/>
    <w:rsid w:val="00152B6F"/>
    <w:rsid w:val="00153BB0"/>
    <w:rsid w:val="0015483F"/>
    <w:rsid w:val="00155F76"/>
    <w:rsid w:val="0015787F"/>
    <w:rsid w:val="001631FC"/>
    <w:rsid w:val="001709C6"/>
    <w:rsid w:val="001745B9"/>
    <w:rsid w:val="001750C9"/>
    <w:rsid w:val="00175F7B"/>
    <w:rsid w:val="0018022C"/>
    <w:rsid w:val="001802AC"/>
    <w:rsid w:val="00182198"/>
    <w:rsid w:val="001824AA"/>
    <w:rsid w:val="001830D1"/>
    <w:rsid w:val="001858E5"/>
    <w:rsid w:val="0018670B"/>
    <w:rsid w:val="00186E6F"/>
    <w:rsid w:val="0019062F"/>
    <w:rsid w:val="00192588"/>
    <w:rsid w:val="001929AF"/>
    <w:rsid w:val="00197AA3"/>
    <w:rsid w:val="00197BA7"/>
    <w:rsid w:val="001A5DA0"/>
    <w:rsid w:val="001A617B"/>
    <w:rsid w:val="001A6F55"/>
    <w:rsid w:val="001B15DB"/>
    <w:rsid w:val="001B24A1"/>
    <w:rsid w:val="001B689A"/>
    <w:rsid w:val="001B6DDB"/>
    <w:rsid w:val="001C4C94"/>
    <w:rsid w:val="001C57E2"/>
    <w:rsid w:val="001D0580"/>
    <w:rsid w:val="001D1338"/>
    <w:rsid w:val="001D3843"/>
    <w:rsid w:val="001D7789"/>
    <w:rsid w:val="001E02B3"/>
    <w:rsid w:val="001E1F81"/>
    <w:rsid w:val="001E5C31"/>
    <w:rsid w:val="001E7E33"/>
    <w:rsid w:val="001F47F2"/>
    <w:rsid w:val="001F5AD6"/>
    <w:rsid w:val="00201873"/>
    <w:rsid w:val="002020F4"/>
    <w:rsid w:val="00204B74"/>
    <w:rsid w:val="00205183"/>
    <w:rsid w:val="00207AFF"/>
    <w:rsid w:val="002124F6"/>
    <w:rsid w:val="00216DEF"/>
    <w:rsid w:val="002201E2"/>
    <w:rsid w:val="002203E9"/>
    <w:rsid w:val="00222C05"/>
    <w:rsid w:val="002248B2"/>
    <w:rsid w:val="00227606"/>
    <w:rsid w:val="00233F06"/>
    <w:rsid w:val="00233F5B"/>
    <w:rsid w:val="00236942"/>
    <w:rsid w:val="00236BD8"/>
    <w:rsid w:val="002435B1"/>
    <w:rsid w:val="0024475E"/>
    <w:rsid w:val="002450B0"/>
    <w:rsid w:val="0026228E"/>
    <w:rsid w:val="002623FA"/>
    <w:rsid w:val="002636AB"/>
    <w:rsid w:val="00263A76"/>
    <w:rsid w:val="00263E96"/>
    <w:rsid w:val="002652CC"/>
    <w:rsid w:val="002660BF"/>
    <w:rsid w:val="00266F02"/>
    <w:rsid w:val="002751C8"/>
    <w:rsid w:val="00275352"/>
    <w:rsid w:val="00276F1F"/>
    <w:rsid w:val="0027761B"/>
    <w:rsid w:val="00277B9B"/>
    <w:rsid w:val="00280B4F"/>
    <w:rsid w:val="002818F0"/>
    <w:rsid w:val="00281A72"/>
    <w:rsid w:val="00283145"/>
    <w:rsid w:val="002841B5"/>
    <w:rsid w:val="002854F6"/>
    <w:rsid w:val="00287C47"/>
    <w:rsid w:val="00293847"/>
    <w:rsid w:val="002A0721"/>
    <w:rsid w:val="002A204A"/>
    <w:rsid w:val="002A4EFA"/>
    <w:rsid w:val="002A4F22"/>
    <w:rsid w:val="002B0EE0"/>
    <w:rsid w:val="002B5E7B"/>
    <w:rsid w:val="002C0E14"/>
    <w:rsid w:val="002C319F"/>
    <w:rsid w:val="002C3F11"/>
    <w:rsid w:val="002C4EFD"/>
    <w:rsid w:val="002D3259"/>
    <w:rsid w:val="002D4509"/>
    <w:rsid w:val="002D5B95"/>
    <w:rsid w:val="002D71F0"/>
    <w:rsid w:val="002D7D26"/>
    <w:rsid w:val="002E0087"/>
    <w:rsid w:val="002E585D"/>
    <w:rsid w:val="002E5907"/>
    <w:rsid w:val="002F1908"/>
    <w:rsid w:val="002F1BEB"/>
    <w:rsid w:val="002F3B3F"/>
    <w:rsid w:val="002F4592"/>
    <w:rsid w:val="002F5B98"/>
    <w:rsid w:val="002F5D69"/>
    <w:rsid w:val="00302BA3"/>
    <w:rsid w:val="00311F67"/>
    <w:rsid w:val="00312631"/>
    <w:rsid w:val="003138DF"/>
    <w:rsid w:val="00313EBC"/>
    <w:rsid w:val="0031658C"/>
    <w:rsid w:val="003207BB"/>
    <w:rsid w:val="003211CF"/>
    <w:rsid w:val="0032311A"/>
    <w:rsid w:val="0032328E"/>
    <w:rsid w:val="003235FC"/>
    <w:rsid w:val="00323A43"/>
    <w:rsid w:val="0033103D"/>
    <w:rsid w:val="00333C7F"/>
    <w:rsid w:val="003342EA"/>
    <w:rsid w:val="00335767"/>
    <w:rsid w:val="00336F56"/>
    <w:rsid w:val="003417E3"/>
    <w:rsid w:val="00342D0C"/>
    <w:rsid w:val="00343D99"/>
    <w:rsid w:val="003443B3"/>
    <w:rsid w:val="00350D29"/>
    <w:rsid w:val="003526E5"/>
    <w:rsid w:val="00354E56"/>
    <w:rsid w:val="0035679D"/>
    <w:rsid w:val="0035725A"/>
    <w:rsid w:val="003572BA"/>
    <w:rsid w:val="00362634"/>
    <w:rsid w:val="003639F1"/>
    <w:rsid w:val="00363AC4"/>
    <w:rsid w:val="00366316"/>
    <w:rsid w:val="0037234F"/>
    <w:rsid w:val="00374180"/>
    <w:rsid w:val="00375CE4"/>
    <w:rsid w:val="0037632E"/>
    <w:rsid w:val="003768AB"/>
    <w:rsid w:val="00376A9D"/>
    <w:rsid w:val="00382A78"/>
    <w:rsid w:val="0038413C"/>
    <w:rsid w:val="00385342"/>
    <w:rsid w:val="00387039"/>
    <w:rsid w:val="00391B89"/>
    <w:rsid w:val="00392810"/>
    <w:rsid w:val="00394BE1"/>
    <w:rsid w:val="00394C98"/>
    <w:rsid w:val="003959C7"/>
    <w:rsid w:val="00397944"/>
    <w:rsid w:val="003A2373"/>
    <w:rsid w:val="003A38D2"/>
    <w:rsid w:val="003A7243"/>
    <w:rsid w:val="003B091E"/>
    <w:rsid w:val="003C0514"/>
    <w:rsid w:val="003C0B4F"/>
    <w:rsid w:val="003D5A91"/>
    <w:rsid w:val="003E0F17"/>
    <w:rsid w:val="003E445E"/>
    <w:rsid w:val="003E483B"/>
    <w:rsid w:val="003E585F"/>
    <w:rsid w:val="003E5A7E"/>
    <w:rsid w:val="003E71E4"/>
    <w:rsid w:val="003F063B"/>
    <w:rsid w:val="003F6C03"/>
    <w:rsid w:val="004032F6"/>
    <w:rsid w:val="0040502F"/>
    <w:rsid w:val="00415141"/>
    <w:rsid w:val="00416C16"/>
    <w:rsid w:val="00417146"/>
    <w:rsid w:val="0041742D"/>
    <w:rsid w:val="004209E4"/>
    <w:rsid w:val="00422338"/>
    <w:rsid w:val="00422900"/>
    <w:rsid w:val="00424203"/>
    <w:rsid w:val="00424686"/>
    <w:rsid w:val="00425635"/>
    <w:rsid w:val="0043047D"/>
    <w:rsid w:val="004308CB"/>
    <w:rsid w:val="00430F31"/>
    <w:rsid w:val="00440E62"/>
    <w:rsid w:val="00442B9F"/>
    <w:rsid w:val="00444DD1"/>
    <w:rsid w:val="0045035C"/>
    <w:rsid w:val="00451091"/>
    <w:rsid w:val="00452290"/>
    <w:rsid w:val="00452D45"/>
    <w:rsid w:val="004537EC"/>
    <w:rsid w:val="00460083"/>
    <w:rsid w:val="0046058F"/>
    <w:rsid w:val="00466D97"/>
    <w:rsid w:val="004671D2"/>
    <w:rsid w:val="00467CF2"/>
    <w:rsid w:val="00471E9C"/>
    <w:rsid w:val="0047214A"/>
    <w:rsid w:val="004725A7"/>
    <w:rsid w:val="004736FC"/>
    <w:rsid w:val="004742D5"/>
    <w:rsid w:val="00475B88"/>
    <w:rsid w:val="0047652E"/>
    <w:rsid w:val="00480458"/>
    <w:rsid w:val="00482108"/>
    <w:rsid w:val="00483DA6"/>
    <w:rsid w:val="00487056"/>
    <w:rsid w:val="004908C7"/>
    <w:rsid w:val="00492AD4"/>
    <w:rsid w:val="004A1884"/>
    <w:rsid w:val="004A36B4"/>
    <w:rsid w:val="004A47AE"/>
    <w:rsid w:val="004A580E"/>
    <w:rsid w:val="004A6656"/>
    <w:rsid w:val="004A7812"/>
    <w:rsid w:val="004B26D4"/>
    <w:rsid w:val="004B307C"/>
    <w:rsid w:val="004B7CAD"/>
    <w:rsid w:val="004C19A3"/>
    <w:rsid w:val="004C5902"/>
    <w:rsid w:val="004C66E0"/>
    <w:rsid w:val="004C7B11"/>
    <w:rsid w:val="004D3320"/>
    <w:rsid w:val="004D3B6F"/>
    <w:rsid w:val="004D4104"/>
    <w:rsid w:val="004D5E4C"/>
    <w:rsid w:val="004D6C57"/>
    <w:rsid w:val="004E18C6"/>
    <w:rsid w:val="004F22C6"/>
    <w:rsid w:val="004F3288"/>
    <w:rsid w:val="004F3402"/>
    <w:rsid w:val="00502B56"/>
    <w:rsid w:val="00504C97"/>
    <w:rsid w:val="005075A9"/>
    <w:rsid w:val="005076DB"/>
    <w:rsid w:val="00510811"/>
    <w:rsid w:val="00522493"/>
    <w:rsid w:val="005277FB"/>
    <w:rsid w:val="00535794"/>
    <w:rsid w:val="00537216"/>
    <w:rsid w:val="00537CB1"/>
    <w:rsid w:val="005425E8"/>
    <w:rsid w:val="00542B38"/>
    <w:rsid w:val="00543F5E"/>
    <w:rsid w:val="005443D3"/>
    <w:rsid w:val="00544E75"/>
    <w:rsid w:val="00545399"/>
    <w:rsid w:val="00547B6B"/>
    <w:rsid w:val="005532DE"/>
    <w:rsid w:val="00553E59"/>
    <w:rsid w:val="00554611"/>
    <w:rsid w:val="00557BA9"/>
    <w:rsid w:val="00561E18"/>
    <w:rsid w:val="00562D1E"/>
    <w:rsid w:val="00563509"/>
    <w:rsid w:val="00567E2F"/>
    <w:rsid w:val="00570B81"/>
    <w:rsid w:val="00570DD7"/>
    <w:rsid w:val="0057285F"/>
    <w:rsid w:val="0057585B"/>
    <w:rsid w:val="00577297"/>
    <w:rsid w:val="005856C9"/>
    <w:rsid w:val="0058570C"/>
    <w:rsid w:val="00587693"/>
    <w:rsid w:val="00592FB1"/>
    <w:rsid w:val="00593E4B"/>
    <w:rsid w:val="005950B0"/>
    <w:rsid w:val="00595C4E"/>
    <w:rsid w:val="00596914"/>
    <w:rsid w:val="005A12DA"/>
    <w:rsid w:val="005A439C"/>
    <w:rsid w:val="005A61A0"/>
    <w:rsid w:val="005B016E"/>
    <w:rsid w:val="005B4BA7"/>
    <w:rsid w:val="005B6D6C"/>
    <w:rsid w:val="005C318D"/>
    <w:rsid w:val="005C3E0C"/>
    <w:rsid w:val="005C6704"/>
    <w:rsid w:val="005D097D"/>
    <w:rsid w:val="005D172B"/>
    <w:rsid w:val="005D3FB0"/>
    <w:rsid w:val="005D5372"/>
    <w:rsid w:val="005D5831"/>
    <w:rsid w:val="005D5AEA"/>
    <w:rsid w:val="005D72AD"/>
    <w:rsid w:val="005D7CEC"/>
    <w:rsid w:val="005D7EDA"/>
    <w:rsid w:val="005E0BF7"/>
    <w:rsid w:val="005E3614"/>
    <w:rsid w:val="005E7EE6"/>
    <w:rsid w:val="005F0401"/>
    <w:rsid w:val="005F4441"/>
    <w:rsid w:val="005F5DF2"/>
    <w:rsid w:val="005F688C"/>
    <w:rsid w:val="00600529"/>
    <w:rsid w:val="00602FB1"/>
    <w:rsid w:val="00606987"/>
    <w:rsid w:val="00606BD0"/>
    <w:rsid w:val="00613FB8"/>
    <w:rsid w:val="006151D2"/>
    <w:rsid w:val="00615625"/>
    <w:rsid w:val="00624234"/>
    <w:rsid w:val="0062437C"/>
    <w:rsid w:val="00626748"/>
    <w:rsid w:val="0062713B"/>
    <w:rsid w:val="00636343"/>
    <w:rsid w:val="00640888"/>
    <w:rsid w:val="00641E9E"/>
    <w:rsid w:val="0064295E"/>
    <w:rsid w:val="00645758"/>
    <w:rsid w:val="00646857"/>
    <w:rsid w:val="00647832"/>
    <w:rsid w:val="006512C2"/>
    <w:rsid w:val="00653741"/>
    <w:rsid w:val="00656514"/>
    <w:rsid w:val="006616E8"/>
    <w:rsid w:val="00663AD7"/>
    <w:rsid w:val="00664E85"/>
    <w:rsid w:val="00674F96"/>
    <w:rsid w:val="006772EA"/>
    <w:rsid w:val="006827E1"/>
    <w:rsid w:val="00683DA1"/>
    <w:rsid w:val="00692483"/>
    <w:rsid w:val="0069389A"/>
    <w:rsid w:val="006946C0"/>
    <w:rsid w:val="00696B9D"/>
    <w:rsid w:val="006A245B"/>
    <w:rsid w:val="006A3A24"/>
    <w:rsid w:val="006A4CE8"/>
    <w:rsid w:val="006A5BB8"/>
    <w:rsid w:val="006A724C"/>
    <w:rsid w:val="006B22F4"/>
    <w:rsid w:val="006B4471"/>
    <w:rsid w:val="006B5DE7"/>
    <w:rsid w:val="006C00C1"/>
    <w:rsid w:val="006C54D3"/>
    <w:rsid w:val="006C5BAF"/>
    <w:rsid w:val="006C767F"/>
    <w:rsid w:val="006D18F5"/>
    <w:rsid w:val="006D1FF5"/>
    <w:rsid w:val="006D352B"/>
    <w:rsid w:val="006E2ED2"/>
    <w:rsid w:val="006F16F4"/>
    <w:rsid w:val="006F4D80"/>
    <w:rsid w:val="006F4FD6"/>
    <w:rsid w:val="006F5041"/>
    <w:rsid w:val="00700488"/>
    <w:rsid w:val="00701C64"/>
    <w:rsid w:val="00702FBA"/>
    <w:rsid w:val="00705884"/>
    <w:rsid w:val="00706D97"/>
    <w:rsid w:val="00707AB3"/>
    <w:rsid w:val="00707E86"/>
    <w:rsid w:val="00710494"/>
    <w:rsid w:val="00712B4C"/>
    <w:rsid w:val="00715A11"/>
    <w:rsid w:val="00716BF6"/>
    <w:rsid w:val="00723FBD"/>
    <w:rsid w:val="007243FA"/>
    <w:rsid w:val="007274BE"/>
    <w:rsid w:val="00740DF1"/>
    <w:rsid w:val="00740DFB"/>
    <w:rsid w:val="007420A4"/>
    <w:rsid w:val="007447CF"/>
    <w:rsid w:val="00746695"/>
    <w:rsid w:val="00746ED6"/>
    <w:rsid w:val="00752461"/>
    <w:rsid w:val="00755E56"/>
    <w:rsid w:val="00760BBD"/>
    <w:rsid w:val="00763FF3"/>
    <w:rsid w:val="00765A79"/>
    <w:rsid w:val="00766055"/>
    <w:rsid w:val="0077178A"/>
    <w:rsid w:val="007725E8"/>
    <w:rsid w:val="00772611"/>
    <w:rsid w:val="00782FA8"/>
    <w:rsid w:val="0078586F"/>
    <w:rsid w:val="007858D7"/>
    <w:rsid w:val="007865A5"/>
    <w:rsid w:val="00787D57"/>
    <w:rsid w:val="00791892"/>
    <w:rsid w:val="00794221"/>
    <w:rsid w:val="007954F3"/>
    <w:rsid w:val="0079568C"/>
    <w:rsid w:val="007A393D"/>
    <w:rsid w:val="007A4DC4"/>
    <w:rsid w:val="007A5114"/>
    <w:rsid w:val="007A60AE"/>
    <w:rsid w:val="007B223E"/>
    <w:rsid w:val="007B2DF7"/>
    <w:rsid w:val="007B52FA"/>
    <w:rsid w:val="007B6DF4"/>
    <w:rsid w:val="007B760E"/>
    <w:rsid w:val="007C1DD5"/>
    <w:rsid w:val="007D32F8"/>
    <w:rsid w:val="007D4612"/>
    <w:rsid w:val="007D566C"/>
    <w:rsid w:val="007E4534"/>
    <w:rsid w:val="007E4F43"/>
    <w:rsid w:val="007E4FA1"/>
    <w:rsid w:val="007F2784"/>
    <w:rsid w:val="007F3FBF"/>
    <w:rsid w:val="007F45FC"/>
    <w:rsid w:val="007F544A"/>
    <w:rsid w:val="007F6472"/>
    <w:rsid w:val="00802261"/>
    <w:rsid w:val="00804F9B"/>
    <w:rsid w:val="00816C7C"/>
    <w:rsid w:val="00817528"/>
    <w:rsid w:val="00824021"/>
    <w:rsid w:val="00826C44"/>
    <w:rsid w:val="00827A80"/>
    <w:rsid w:val="00831604"/>
    <w:rsid w:val="00834C30"/>
    <w:rsid w:val="00834F9B"/>
    <w:rsid w:val="00836B06"/>
    <w:rsid w:val="00837851"/>
    <w:rsid w:val="0084668B"/>
    <w:rsid w:val="00846C79"/>
    <w:rsid w:val="008474C5"/>
    <w:rsid w:val="00857467"/>
    <w:rsid w:val="00863E63"/>
    <w:rsid w:val="00870F2B"/>
    <w:rsid w:val="0087349E"/>
    <w:rsid w:val="00874CED"/>
    <w:rsid w:val="008772CF"/>
    <w:rsid w:val="00881890"/>
    <w:rsid w:val="00886E5C"/>
    <w:rsid w:val="00893E2C"/>
    <w:rsid w:val="00894E33"/>
    <w:rsid w:val="0089672D"/>
    <w:rsid w:val="0089693A"/>
    <w:rsid w:val="008A226A"/>
    <w:rsid w:val="008A45C0"/>
    <w:rsid w:val="008A49E5"/>
    <w:rsid w:val="008A4DC6"/>
    <w:rsid w:val="008A575C"/>
    <w:rsid w:val="008B0F15"/>
    <w:rsid w:val="008B302B"/>
    <w:rsid w:val="008B7A65"/>
    <w:rsid w:val="008B7B6F"/>
    <w:rsid w:val="008C0814"/>
    <w:rsid w:val="008C166D"/>
    <w:rsid w:val="008C2EE5"/>
    <w:rsid w:val="008C53CD"/>
    <w:rsid w:val="008C6A45"/>
    <w:rsid w:val="008D6081"/>
    <w:rsid w:val="008D7B86"/>
    <w:rsid w:val="008E0F2A"/>
    <w:rsid w:val="008E189E"/>
    <w:rsid w:val="008E5881"/>
    <w:rsid w:val="008F6F5F"/>
    <w:rsid w:val="0090471C"/>
    <w:rsid w:val="00905231"/>
    <w:rsid w:val="00905FD2"/>
    <w:rsid w:val="009138E1"/>
    <w:rsid w:val="00913CED"/>
    <w:rsid w:val="0091738D"/>
    <w:rsid w:val="0092001D"/>
    <w:rsid w:val="00922928"/>
    <w:rsid w:val="00923754"/>
    <w:rsid w:val="0092397B"/>
    <w:rsid w:val="0092630A"/>
    <w:rsid w:val="009265E9"/>
    <w:rsid w:val="00930863"/>
    <w:rsid w:val="00932E45"/>
    <w:rsid w:val="00937443"/>
    <w:rsid w:val="009438F1"/>
    <w:rsid w:val="00944A8B"/>
    <w:rsid w:val="00950225"/>
    <w:rsid w:val="00950582"/>
    <w:rsid w:val="00954512"/>
    <w:rsid w:val="0096113A"/>
    <w:rsid w:val="0096477B"/>
    <w:rsid w:val="009669C5"/>
    <w:rsid w:val="00967DA7"/>
    <w:rsid w:val="009715B2"/>
    <w:rsid w:val="00974CB6"/>
    <w:rsid w:val="009807E0"/>
    <w:rsid w:val="00982007"/>
    <w:rsid w:val="0098267A"/>
    <w:rsid w:val="00983635"/>
    <w:rsid w:val="0099196A"/>
    <w:rsid w:val="0099362A"/>
    <w:rsid w:val="009A4A61"/>
    <w:rsid w:val="009B2506"/>
    <w:rsid w:val="009B7EAF"/>
    <w:rsid w:val="009C1B20"/>
    <w:rsid w:val="009C382E"/>
    <w:rsid w:val="009C4A15"/>
    <w:rsid w:val="009D26BE"/>
    <w:rsid w:val="009D313C"/>
    <w:rsid w:val="009D4BA8"/>
    <w:rsid w:val="009D521E"/>
    <w:rsid w:val="009D68CA"/>
    <w:rsid w:val="009E25BD"/>
    <w:rsid w:val="009E6743"/>
    <w:rsid w:val="009F0ABC"/>
    <w:rsid w:val="009F43F7"/>
    <w:rsid w:val="009F4A2D"/>
    <w:rsid w:val="00A050E5"/>
    <w:rsid w:val="00A06977"/>
    <w:rsid w:val="00A101C7"/>
    <w:rsid w:val="00A10C9A"/>
    <w:rsid w:val="00A120FB"/>
    <w:rsid w:val="00A125D9"/>
    <w:rsid w:val="00A1364F"/>
    <w:rsid w:val="00A17D4F"/>
    <w:rsid w:val="00A20558"/>
    <w:rsid w:val="00A20C70"/>
    <w:rsid w:val="00A2270A"/>
    <w:rsid w:val="00A22B7D"/>
    <w:rsid w:val="00A3153A"/>
    <w:rsid w:val="00A323B5"/>
    <w:rsid w:val="00A32921"/>
    <w:rsid w:val="00A35707"/>
    <w:rsid w:val="00A37152"/>
    <w:rsid w:val="00A37E06"/>
    <w:rsid w:val="00A411D1"/>
    <w:rsid w:val="00A4340D"/>
    <w:rsid w:val="00A46EDE"/>
    <w:rsid w:val="00A47002"/>
    <w:rsid w:val="00A470D7"/>
    <w:rsid w:val="00A4742B"/>
    <w:rsid w:val="00A5206C"/>
    <w:rsid w:val="00A53C4B"/>
    <w:rsid w:val="00A60C4E"/>
    <w:rsid w:val="00A648C3"/>
    <w:rsid w:val="00A66F5C"/>
    <w:rsid w:val="00A724EB"/>
    <w:rsid w:val="00A76A06"/>
    <w:rsid w:val="00A80172"/>
    <w:rsid w:val="00A8265C"/>
    <w:rsid w:val="00A9044C"/>
    <w:rsid w:val="00A92B81"/>
    <w:rsid w:val="00A93E60"/>
    <w:rsid w:val="00A94322"/>
    <w:rsid w:val="00A946E8"/>
    <w:rsid w:val="00A9642B"/>
    <w:rsid w:val="00A971F1"/>
    <w:rsid w:val="00A97BB5"/>
    <w:rsid w:val="00AA0D58"/>
    <w:rsid w:val="00AA3912"/>
    <w:rsid w:val="00AA4669"/>
    <w:rsid w:val="00AA511F"/>
    <w:rsid w:val="00AA63C3"/>
    <w:rsid w:val="00AA68AE"/>
    <w:rsid w:val="00AB21D3"/>
    <w:rsid w:val="00AB2ACE"/>
    <w:rsid w:val="00AB3797"/>
    <w:rsid w:val="00AB3C30"/>
    <w:rsid w:val="00AB57CB"/>
    <w:rsid w:val="00AC0453"/>
    <w:rsid w:val="00AC0665"/>
    <w:rsid w:val="00AC0E01"/>
    <w:rsid w:val="00AC2FB1"/>
    <w:rsid w:val="00AC5486"/>
    <w:rsid w:val="00AC6521"/>
    <w:rsid w:val="00AD012B"/>
    <w:rsid w:val="00AD082D"/>
    <w:rsid w:val="00AD25D1"/>
    <w:rsid w:val="00AD291D"/>
    <w:rsid w:val="00AD42B2"/>
    <w:rsid w:val="00AD4767"/>
    <w:rsid w:val="00AD7E62"/>
    <w:rsid w:val="00AE0157"/>
    <w:rsid w:val="00AE1259"/>
    <w:rsid w:val="00AE5F3A"/>
    <w:rsid w:val="00AF538B"/>
    <w:rsid w:val="00AF72AA"/>
    <w:rsid w:val="00AF7495"/>
    <w:rsid w:val="00B006DC"/>
    <w:rsid w:val="00B01717"/>
    <w:rsid w:val="00B01B78"/>
    <w:rsid w:val="00B01BAA"/>
    <w:rsid w:val="00B1205E"/>
    <w:rsid w:val="00B1213F"/>
    <w:rsid w:val="00B142D7"/>
    <w:rsid w:val="00B1528B"/>
    <w:rsid w:val="00B20513"/>
    <w:rsid w:val="00B20D57"/>
    <w:rsid w:val="00B2211A"/>
    <w:rsid w:val="00B259A8"/>
    <w:rsid w:val="00B26318"/>
    <w:rsid w:val="00B34255"/>
    <w:rsid w:val="00B34FEB"/>
    <w:rsid w:val="00B46F12"/>
    <w:rsid w:val="00B471A6"/>
    <w:rsid w:val="00B471E3"/>
    <w:rsid w:val="00B50AB3"/>
    <w:rsid w:val="00B5202D"/>
    <w:rsid w:val="00B55192"/>
    <w:rsid w:val="00B60D8E"/>
    <w:rsid w:val="00B60DCB"/>
    <w:rsid w:val="00B61C45"/>
    <w:rsid w:val="00B638DE"/>
    <w:rsid w:val="00B64064"/>
    <w:rsid w:val="00B65332"/>
    <w:rsid w:val="00B66BCF"/>
    <w:rsid w:val="00B66EA2"/>
    <w:rsid w:val="00B717AE"/>
    <w:rsid w:val="00B71F05"/>
    <w:rsid w:val="00B75E34"/>
    <w:rsid w:val="00B766EE"/>
    <w:rsid w:val="00B83CA0"/>
    <w:rsid w:val="00B84813"/>
    <w:rsid w:val="00B9102E"/>
    <w:rsid w:val="00B91379"/>
    <w:rsid w:val="00B92E95"/>
    <w:rsid w:val="00B97EEA"/>
    <w:rsid w:val="00BA4792"/>
    <w:rsid w:val="00BA4A07"/>
    <w:rsid w:val="00BA4DC1"/>
    <w:rsid w:val="00BA4EFE"/>
    <w:rsid w:val="00BA657D"/>
    <w:rsid w:val="00BA6720"/>
    <w:rsid w:val="00BA7CB7"/>
    <w:rsid w:val="00BA7E3E"/>
    <w:rsid w:val="00BB204B"/>
    <w:rsid w:val="00BB6839"/>
    <w:rsid w:val="00BB7856"/>
    <w:rsid w:val="00BC0010"/>
    <w:rsid w:val="00BC20FF"/>
    <w:rsid w:val="00BC3075"/>
    <w:rsid w:val="00BC6007"/>
    <w:rsid w:val="00BC652D"/>
    <w:rsid w:val="00BD0011"/>
    <w:rsid w:val="00BD175C"/>
    <w:rsid w:val="00BD4498"/>
    <w:rsid w:val="00BD4DFD"/>
    <w:rsid w:val="00BE0ABA"/>
    <w:rsid w:val="00BE20AD"/>
    <w:rsid w:val="00BE39AC"/>
    <w:rsid w:val="00BE5795"/>
    <w:rsid w:val="00BE6917"/>
    <w:rsid w:val="00BF07E7"/>
    <w:rsid w:val="00BF1412"/>
    <w:rsid w:val="00BF2E5D"/>
    <w:rsid w:val="00BF5EF6"/>
    <w:rsid w:val="00BF5F22"/>
    <w:rsid w:val="00C0050B"/>
    <w:rsid w:val="00C04B6D"/>
    <w:rsid w:val="00C06B7F"/>
    <w:rsid w:val="00C1168A"/>
    <w:rsid w:val="00C124BD"/>
    <w:rsid w:val="00C12E85"/>
    <w:rsid w:val="00C14DD6"/>
    <w:rsid w:val="00C160AB"/>
    <w:rsid w:val="00C16A6E"/>
    <w:rsid w:val="00C178F3"/>
    <w:rsid w:val="00C21347"/>
    <w:rsid w:val="00C23034"/>
    <w:rsid w:val="00C26433"/>
    <w:rsid w:val="00C303BE"/>
    <w:rsid w:val="00C32125"/>
    <w:rsid w:val="00C35C02"/>
    <w:rsid w:val="00C35DA5"/>
    <w:rsid w:val="00C44533"/>
    <w:rsid w:val="00C5405C"/>
    <w:rsid w:val="00C57D15"/>
    <w:rsid w:val="00C61A65"/>
    <w:rsid w:val="00C62BCA"/>
    <w:rsid w:val="00C64C1A"/>
    <w:rsid w:val="00C71E06"/>
    <w:rsid w:val="00C74C7B"/>
    <w:rsid w:val="00C760F8"/>
    <w:rsid w:val="00C77F4C"/>
    <w:rsid w:val="00C805AA"/>
    <w:rsid w:val="00C82DF1"/>
    <w:rsid w:val="00C83AE7"/>
    <w:rsid w:val="00C934C0"/>
    <w:rsid w:val="00C9465A"/>
    <w:rsid w:val="00CB2BE1"/>
    <w:rsid w:val="00CB49BD"/>
    <w:rsid w:val="00CC2D7B"/>
    <w:rsid w:val="00CC3215"/>
    <w:rsid w:val="00CC3C35"/>
    <w:rsid w:val="00CD0D3D"/>
    <w:rsid w:val="00CD1A5A"/>
    <w:rsid w:val="00CD1BEE"/>
    <w:rsid w:val="00CD302C"/>
    <w:rsid w:val="00CD3A39"/>
    <w:rsid w:val="00CD7D9D"/>
    <w:rsid w:val="00CD7FFC"/>
    <w:rsid w:val="00CE1618"/>
    <w:rsid w:val="00CE5140"/>
    <w:rsid w:val="00CE6B17"/>
    <w:rsid w:val="00CF331B"/>
    <w:rsid w:val="00D04D8D"/>
    <w:rsid w:val="00D066BE"/>
    <w:rsid w:val="00D1082F"/>
    <w:rsid w:val="00D304DB"/>
    <w:rsid w:val="00D305E3"/>
    <w:rsid w:val="00D4045B"/>
    <w:rsid w:val="00D42DFB"/>
    <w:rsid w:val="00D46B13"/>
    <w:rsid w:val="00D5283A"/>
    <w:rsid w:val="00D6079A"/>
    <w:rsid w:val="00D60A84"/>
    <w:rsid w:val="00D6441A"/>
    <w:rsid w:val="00D65E23"/>
    <w:rsid w:val="00D679F2"/>
    <w:rsid w:val="00D71314"/>
    <w:rsid w:val="00D7317C"/>
    <w:rsid w:val="00D7378F"/>
    <w:rsid w:val="00D7630E"/>
    <w:rsid w:val="00D77178"/>
    <w:rsid w:val="00D815C1"/>
    <w:rsid w:val="00D81ED1"/>
    <w:rsid w:val="00D8238D"/>
    <w:rsid w:val="00D84B8F"/>
    <w:rsid w:val="00D854E6"/>
    <w:rsid w:val="00D87040"/>
    <w:rsid w:val="00D91EFB"/>
    <w:rsid w:val="00D92D0C"/>
    <w:rsid w:val="00D9463D"/>
    <w:rsid w:val="00D967CF"/>
    <w:rsid w:val="00DA0AC7"/>
    <w:rsid w:val="00DA1416"/>
    <w:rsid w:val="00DA46B7"/>
    <w:rsid w:val="00DA5575"/>
    <w:rsid w:val="00DA6E29"/>
    <w:rsid w:val="00DB4BE1"/>
    <w:rsid w:val="00DB53C7"/>
    <w:rsid w:val="00DB6BEA"/>
    <w:rsid w:val="00DC396E"/>
    <w:rsid w:val="00DD0C0E"/>
    <w:rsid w:val="00DD1D6D"/>
    <w:rsid w:val="00DD3674"/>
    <w:rsid w:val="00DD5DDA"/>
    <w:rsid w:val="00DD6886"/>
    <w:rsid w:val="00DE0094"/>
    <w:rsid w:val="00DE296E"/>
    <w:rsid w:val="00DE38C5"/>
    <w:rsid w:val="00DE76AF"/>
    <w:rsid w:val="00DE7899"/>
    <w:rsid w:val="00DF1007"/>
    <w:rsid w:val="00DF23EC"/>
    <w:rsid w:val="00DF7205"/>
    <w:rsid w:val="00DF7EBD"/>
    <w:rsid w:val="00E01F5C"/>
    <w:rsid w:val="00E034A9"/>
    <w:rsid w:val="00E03B06"/>
    <w:rsid w:val="00E05FE9"/>
    <w:rsid w:val="00E069AB"/>
    <w:rsid w:val="00E10F2A"/>
    <w:rsid w:val="00E1599F"/>
    <w:rsid w:val="00E20BE3"/>
    <w:rsid w:val="00E24D7F"/>
    <w:rsid w:val="00E26E4F"/>
    <w:rsid w:val="00E46361"/>
    <w:rsid w:val="00E46FAB"/>
    <w:rsid w:val="00E46FFA"/>
    <w:rsid w:val="00E557A7"/>
    <w:rsid w:val="00E5706F"/>
    <w:rsid w:val="00E6012D"/>
    <w:rsid w:val="00E73166"/>
    <w:rsid w:val="00E7476E"/>
    <w:rsid w:val="00E755A3"/>
    <w:rsid w:val="00E77B7D"/>
    <w:rsid w:val="00E820DB"/>
    <w:rsid w:val="00E83F6D"/>
    <w:rsid w:val="00E91CD8"/>
    <w:rsid w:val="00E94409"/>
    <w:rsid w:val="00E95548"/>
    <w:rsid w:val="00E95BD8"/>
    <w:rsid w:val="00EA186A"/>
    <w:rsid w:val="00EA2F95"/>
    <w:rsid w:val="00EA4B85"/>
    <w:rsid w:val="00EA76C5"/>
    <w:rsid w:val="00EB3ADD"/>
    <w:rsid w:val="00EB62E4"/>
    <w:rsid w:val="00EB692C"/>
    <w:rsid w:val="00EC1C5E"/>
    <w:rsid w:val="00EC6DC4"/>
    <w:rsid w:val="00EC6EA9"/>
    <w:rsid w:val="00EC7F26"/>
    <w:rsid w:val="00ED1B43"/>
    <w:rsid w:val="00ED1EE0"/>
    <w:rsid w:val="00ED359C"/>
    <w:rsid w:val="00ED3690"/>
    <w:rsid w:val="00ED534A"/>
    <w:rsid w:val="00EE614D"/>
    <w:rsid w:val="00EE698C"/>
    <w:rsid w:val="00EF7D06"/>
    <w:rsid w:val="00F00BFC"/>
    <w:rsid w:val="00F026F0"/>
    <w:rsid w:val="00F04D13"/>
    <w:rsid w:val="00F11595"/>
    <w:rsid w:val="00F151E7"/>
    <w:rsid w:val="00F15303"/>
    <w:rsid w:val="00F20EC3"/>
    <w:rsid w:val="00F25455"/>
    <w:rsid w:val="00F25A70"/>
    <w:rsid w:val="00F265D1"/>
    <w:rsid w:val="00F27BFC"/>
    <w:rsid w:val="00F3030F"/>
    <w:rsid w:val="00F30897"/>
    <w:rsid w:val="00F3513E"/>
    <w:rsid w:val="00F36B81"/>
    <w:rsid w:val="00F37195"/>
    <w:rsid w:val="00F37D21"/>
    <w:rsid w:val="00F410C3"/>
    <w:rsid w:val="00F42922"/>
    <w:rsid w:val="00F4521C"/>
    <w:rsid w:val="00F530D8"/>
    <w:rsid w:val="00F54C38"/>
    <w:rsid w:val="00F561C2"/>
    <w:rsid w:val="00F56314"/>
    <w:rsid w:val="00F57507"/>
    <w:rsid w:val="00F6455E"/>
    <w:rsid w:val="00F66237"/>
    <w:rsid w:val="00F7516F"/>
    <w:rsid w:val="00F76ED8"/>
    <w:rsid w:val="00F82608"/>
    <w:rsid w:val="00F84B20"/>
    <w:rsid w:val="00F84F0A"/>
    <w:rsid w:val="00F851C6"/>
    <w:rsid w:val="00F8543E"/>
    <w:rsid w:val="00F8609A"/>
    <w:rsid w:val="00F94217"/>
    <w:rsid w:val="00F955F6"/>
    <w:rsid w:val="00F95675"/>
    <w:rsid w:val="00F960B5"/>
    <w:rsid w:val="00F978EB"/>
    <w:rsid w:val="00F97BAC"/>
    <w:rsid w:val="00FA21F4"/>
    <w:rsid w:val="00FB1933"/>
    <w:rsid w:val="00FB2080"/>
    <w:rsid w:val="00FB3961"/>
    <w:rsid w:val="00FB4742"/>
    <w:rsid w:val="00FB6AFA"/>
    <w:rsid w:val="00FC54F0"/>
    <w:rsid w:val="00FC7BD5"/>
    <w:rsid w:val="00FD0445"/>
    <w:rsid w:val="00FD0E35"/>
    <w:rsid w:val="00FD229E"/>
    <w:rsid w:val="00FD443F"/>
    <w:rsid w:val="00FE218C"/>
    <w:rsid w:val="00FE3BFB"/>
    <w:rsid w:val="00FE40D1"/>
    <w:rsid w:val="00FE4CC6"/>
    <w:rsid w:val="00FE78F0"/>
    <w:rsid w:val="00FF0452"/>
    <w:rsid w:val="00FF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E2"/>
    <w:rPr>
      <w:sz w:val="24"/>
      <w:szCs w:val="24"/>
    </w:rPr>
  </w:style>
  <w:style w:type="paragraph" w:styleId="5">
    <w:name w:val="heading 5"/>
    <w:basedOn w:val="a"/>
    <w:next w:val="a"/>
    <w:link w:val="50"/>
    <w:qFormat/>
    <w:rsid w:val="00A53C4B"/>
    <w:pPr>
      <w:keepNext/>
      <w:widowControl w:val="0"/>
      <w:snapToGrid w:val="0"/>
      <w:jc w:val="righ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A53C4B"/>
    <w:rPr>
      <w:i/>
      <w:iCs/>
      <w:sz w:val="24"/>
      <w:szCs w:val="24"/>
    </w:rPr>
  </w:style>
  <w:style w:type="paragraph" w:styleId="a3">
    <w:name w:val="footer"/>
    <w:basedOn w:val="a"/>
    <w:link w:val="a4"/>
    <w:uiPriority w:val="99"/>
    <w:rsid w:val="00017D7F"/>
    <w:pPr>
      <w:tabs>
        <w:tab w:val="center" w:pos="4677"/>
        <w:tab w:val="right" w:pos="9355"/>
      </w:tabs>
    </w:pPr>
  </w:style>
  <w:style w:type="character" w:customStyle="1" w:styleId="a4">
    <w:name w:val="Нижний колонтитул Знак"/>
    <w:link w:val="a3"/>
    <w:uiPriority w:val="99"/>
    <w:semiHidden/>
    <w:locked/>
    <w:rsid w:val="002D3259"/>
    <w:rPr>
      <w:sz w:val="24"/>
      <w:szCs w:val="24"/>
    </w:rPr>
  </w:style>
  <w:style w:type="character" w:styleId="a5">
    <w:name w:val="page number"/>
    <w:basedOn w:val="a0"/>
    <w:uiPriority w:val="99"/>
    <w:rsid w:val="00017D7F"/>
  </w:style>
  <w:style w:type="table" w:styleId="a6">
    <w:name w:val="Table Grid"/>
    <w:basedOn w:val="a1"/>
    <w:uiPriority w:val="99"/>
    <w:rsid w:val="0043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8413C"/>
    <w:pPr>
      <w:tabs>
        <w:tab w:val="center" w:pos="4677"/>
        <w:tab w:val="right" w:pos="9355"/>
      </w:tabs>
    </w:pPr>
  </w:style>
  <w:style w:type="character" w:customStyle="1" w:styleId="a8">
    <w:name w:val="Верхний колонтитул Знак"/>
    <w:link w:val="a7"/>
    <w:uiPriority w:val="99"/>
    <w:semiHidden/>
    <w:locked/>
    <w:rsid w:val="002D3259"/>
    <w:rPr>
      <w:sz w:val="24"/>
      <w:szCs w:val="24"/>
    </w:rPr>
  </w:style>
  <w:style w:type="paragraph" w:customStyle="1" w:styleId="a9">
    <w:name w:val="Знак"/>
    <w:basedOn w:val="a"/>
    <w:rsid w:val="00AD42B2"/>
    <w:pPr>
      <w:spacing w:after="160" w:line="240" w:lineRule="exact"/>
    </w:pPr>
    <w:rPr>
      <w:rFonts w:ascii="Verdana" w:hAnsi="Verdana" w:cs="Verdana"/>
      <w:lang w:val="en-US" w:eastAsia="en-US"/>
    </w:rPr>
  </w:style>
  <w:style w:type="paragraph" w:customStyle="1" w:styleId="1">
    <w:name w:val="Знак1"/>
    <w:basedOn w:val="a"/>
    <w:uiPriority w:val="99"/>
    <w:rsid w:val="00AF538B"/>
    <w:pPr>
      <w:spacing w:after="160" w:line="240" w:lineRule="exact"/>
    </w:pPr>
    <w:rPr>
      <w:rFonts w:ascii="Verdana" w:hAnsi="Verdana" w:cs="Verdana"/>
      <w:lang w:val="en-US" w:eastAsia="en-US"/>
    </w:rPr>
  </w:style>
  <w:style w:type="paragraph" w:styleId="aa">
    <w:name w:val="Body Text Indent"/>
    <w:basedOn w:val="a"/>
    <w:link w:val="ab"/>
    <w:rsid w:val="00A53C4B"/>
    <w:pPr>
      <w:widowControl w:val="0"/>
      <w:snapToGrid w:val="0"/>
      <w:ind w:left="360"/>
      <w:jc w:val="center"/>
    </w:pPr>
    <w:rPr>
      <w:rFonts w:ascii="Arial" w:hAnsi="Arial" w:cs="Arial"/>
      <w:color w:val="000000"/>
      <w:sz w:val="18"/>
      <w:szCs w:val="18"/>
    </w:rPr>
  </w:style>
  <w:style w:type="character" w:customStyle="1" w:styleId="ab">
    <w:name w:val="Основной текст с отступом Знак"/>
    <w:link w:val="aa"/>
    <w:locked/>
    <w:rsid w:val="00A53C4B"/>
    <w:rPr>
      <w:rFonts w:ascii="Arial" w:hAnsi="Arial" w:cs="Arial"/>
      <w:color w:val="000000"/>
      <w:sz w:val="18"/>
      <w:szCs w:val="18"/>
    </w:rPr>
  </w:style>
  <w:style w:type="paragraph" w:styleId="ac">
    <w:name w:val="Balloon Text"/>
    <w:basedOn w:val="a"/>
    <w:link w:val="ad"/>
    <w:uiPriority w:val="99"/>
    <w:semiHidden/>
    <w:rsid w:val="007E4F43"/>
    <w:rPr>
      <w:rFonts w:ascii="Tahoma" w:hAnsi="Tahoma" w:cs="Tahoma"/>
      <w:sz w:val="16"/>
      <w:szCs w:val="16"/>
    </w:rPr>
  </w:style>
  <w:style w:type="character" w:customStyle="1" w:styleId="ad">
    <w:name w:val="Текст выноски Знак"/>
    <w:link w:val="ac"/>
    <w:uiPriority w:val="99"/>
    <w:locked/>
    <w:rsid w:val="007E4F43"/>
    <w:rPr>
      <w:rFonts w:ascii="Tahoma" w:hAnsi="Tahoma" w:cs="Tahoma"/>
      <w:sz w:val="16"/>
      <w:szCs w:val="16"/>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1410CE"/>
    <w:pPr>
      <w:spacing w:before="100" w:beforeAutospacing="1" w:after="100" w:afterAutospacing="1"/>
    </w:pPr>
    <w:rPr>
      <w:rFonts w:ascii="Tahoma" w:hAnsi="Tahoma" w:cs="Tahoma"/>
      <w:sz w:val="20"/>
      <w:szCs w:val="20"/>
      <w:lang w:val="en-US" w:eastAsia="en-US"/>
    </w:rPr>
  </w:style>
  <w:style w:type="paragraph" w:customStyle="1" w:styleId="14">
    <w:name w:val="Обычный + 14 пт"/>
    <w:aliases w:val="По ширине,Первая строка:  1,59 см,Междустр.интервал:  полу..."/>
    <w:basedOn w:val="a"/>
    <w:uiPriority w:val="99"/>
    <w:rsid w:val="004B7CAD"/>
    <w:pPr>
      <w:spacing w:line="360" w:lineRule="auto"/>
      <w:ind w:firstLine="900"/>
      <w:jc w:val="both"/>
    </w:pPr>
    <w:rPr>
      <w:sz w:val="28"/>
      <w:szCs w:val="28"/>
    </w:rPr>
  </w:style>
  <w:style w:type="paragraph" w:customStyle="1" w:styleId="CharCharCharCharCharCharCharCharCharChar1CharChar0">
    <w:name w:val="Char Char Знак Знак Char Char Знак Знак Char Char Знак Знак Char Char Знак Знак Char Char1 Знак Знак Char Char"/>
    <w:basedOn w:val="a"/>
    <w:rsid w:val="0092630A"/>
    <w:pPr>
      <w:spacing w:before="100" w:beforeAutospacing="1" w:after="100" w:afterAutospacing="1"/>
    </w:pPr>
    <w:rPr>
      <w:rFonts w:ascii="Tahoma" w:hAnsi="Tahoma"/>
      <w:sz w:val="20"/>
      <w:szCs w:val="20"/>
      <w:lang w:val="en-US" w:eastAsia="en-US"/>
    </w:rPr>
  </w:style>
  <w:style w:type="paragraph" w:customStyle="1" w:styleId="10">
    <w:name w:val="Знак1"/>
    <w:basedOn w:val="a"/>
    <w:rsid w:val="00BC6007"/>
    <w:pPr>
      <w:spacing w:after="160" w:line="240" w:lineRule="exact"/>
    </w:pPr>
    <w:rPr>
      <w:rFonts w:ascii="Verdana" w:hAnsi="Verdana"/>
      <w:lang w:val="en-US" w:eastAsia="en-US"/>
    </w:rPr>
  </w:style>
  <w:style w:type="paragraph" w:customStyle="1" w:styleId="11">
    <w:name w:val="Знак1"/>
    <w:basedOn w:val="a"/>
    <w:rsid w:val="002450B0"/>
    <w:pPr>
      <w:spacing w:after="160" w:line="240" w:lineRule="exact"/>
    </w:pPr>
    <w:rPr>
      <w:rFonts w:ascii="Verdana" w:hAnsi="Verdana"/>
      <w:lang w:val="en-US" w:eastAsia="en-US"/>
    </w:rPr>
  </w:style>
  <w:style w:type="paragraph" w:customStyle="1" w:styleId="12">
    <w:name w:val="Знак1"/>
    <w:basedOn w:val="a"/>
    <w:rsid w:val="004671D2"/>
    <w:pPr>
      <w:spacing w:after="160" w:line="240" w:lineRule="exact"/>
    </w:pPr>
    <w:rPr>
      <w:rFonts w:ascii="Verdana" w:hAnsi="Verdana"/>
      <w:lang w:val="en-US" w:eastAsia="en-US"/>
    </w:rPr>
  </w:style>
  <w:style w:type="character" w:customStyle="1" w:styleId="FontStyle33">
    <w:name w:val="Font Style33"/>
    <w:basedOn w:val="a0"/>
    <w:rsid w:val="005443D3"/>
    <w:rPr>
      <w:rFonts w:ascii="Times New Roman" w:hAnsi="Times New Roman" w:cs="Times New Roman"/>
      <w:sz w:val="24"/>
      <w:szCs w:val="24"/>
    </w:rPr>
  </w:style>
  <w:style w:type="paragraph" w:customStyle="1" w:styleId="Style14">
    <w:name w:val="Style14"/>
    <w:basedOn w:val="a"/>
    <w:rsid w:val="005443D3"/>
    <w:pPr>
      <w:widowControl w:val="0"/>
      <w:autoSpaceDE w:val="0"/>
      <w:autoSpaceDN w:val="0"/>
      <w:adjustRightInd w:val="0"/>
      <w:spacing w:line="286" w:lineRule="exact"/>
      <w:ind w:firstLine="626"/>
      <w:jc w:val="both"/>
    </w:pPr>
  </w:style>
  <w:style w:type="paragraph" w:customStyle="1" w:styleId="13">
    <w:name w:val="Знак1"/>
    <w:basedOn w:val="a"/>
    <w:rsid w:val="007B52FA"/>
    <w:pPr>
      <w:spacing w:after="160" w:line="240" w:lineRule="exact"/>
    </w:pPr>
    <w:rPr>
      <w:rFonts w:ascii="Verdana" w:hAnsi="Verdana"/>
      <w:lang w:val="en-US" w:eastAsia="en-US"/>
    </w:rPr>
  </w:style>
  <w:style w:type="paragraph" w:customStyle="1" w:styleId="15">
    <w:name w:val="Знак1"/>
    <w:basedOn w:val="a"/>
    <w:rsid w:val="00B83CA0"/>
    <w:pPr>
      <w:spacing w:after="160" w:line="240" w:lineRule="exact"/>
    </w:pPr>
    <w:rPr>
      <w:rFonts w:ascii="Verdana" w:hAnsi="Verdana"/>
      <w:lang w:val="en-US" w:eastAsia="en-US"/>
    </w:rPr>
  </w:style>
  <w:style w:type="paragraph" w:customStyle="1" w:styleId="ConsPlusNormal">
    <w:name w:val="ConsPlusNormal"/>
    <w:rsid w:val="009F43F7"/>
    <w:pPr>
      <w:widowControl w:val="0"/>
      <w:autoSpaceDE w:val="0"/>
      <w:autoSpaceDN w:val="0"/>
      <w:adjustRightInd w:val="0"/>
    </w:pPr>
    <w:rPr>
      <w:rFonts w:ascii="Arial" w:eastAsiaTheme="minorEastAsia"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657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7834">
      <w:marLeft w:val="0"/>
      <w:marRight w:val="0"/>
      <w:marTop w:val="0"/>
      <w:marBottom w:val="0"/>
      <w:divBdr>
        <w:top w:val="none" w:sz="0" w:space="0" w:color="auto"/>
        <w:left w:val="none" w:sz="0" w:space="0" w:color="auto"/>
        <w:bottom w:val="none" w:sz="0" w:space="0" w:color="auto"/>
        <w:right w:val="none" w:sz="0" w:space="0" w:color="auto"/>
      </w:divBdr>
    </w:div>
    <w:div w:id="94207835">
      <w:marLeft w:val="0"/>
      <w:marRight w:val="0"/>
      <w:marTop w:val="0"/>
      <w:marBottom w:val="0"/>
      <w:divBdr>
        <w:top w:val="none" w:sz="0" w:space="0" w:color="auto"/>
        <w:left w:val="none" w:sz="0" w:space="0" w:color="auto"/>
        <w:bottom w:val="none" w:sz="0" w:space="0" w:color="auto"/>
        <w:right w:val="none" w:sz="0" w:space="0" w:color="auto"/>
      </w:divBdr>
    </w:div>
    <w:div w:id="94207836">
      <w:marLeft w:val="0"/>
      <w:marRight w:val="0"/>
      <w:marTop w:val="0"/>
      <w:marBottom w:val="0"/>
      <w:divBdr>
        <w:top w:val="none" w:sz="0" w:space="0" w:color="auto"/>
        <w:left w:val="none" w:sz="0" w:space="0" w:color="auto"/>
        <w:bottom w:val="none" w:sz="0" w:space="0" w:color="auto"/>
        <w:right w:val="none" w:sz="0" w:space="0" w:color="auto"/>
      </w:divBdr>
    </w:div>
    <w:div w:id="94207837">
      <w:marLeft w:val="0"/>
      <w:marRight w:val="0"/>
      <w:marTop w:val="0"/>
      <w:marBottom w:val="0"/>
      <w:divBdr>
        <w:top w:val="none" w:sz="0" w:space="0" w:color="auto"/>
        <w:left w:val="none" w:sz="0" w:space="0" w:color="auto"/>
        <w:bottom w:val="none" w:sz="0" w:space="0" w:color="auto"/>
        <w:right w:val="none" w:sz="0" w:space="0" w:color="auto"/>
      </w:divBdr>
    </w:div>
    <w:div w:id="94207838">
      <w:marLeft w:val="0"/>
      <w:marRight w:val="0"/>
      <w:marTop w:val="0"/>
      <w:marBottom w:val="0"/>
      <w:divBdr>
        <w:top w:val="none" w:sz="0" w:space="0" w:color="auto"/>
        <w:left w:val="none" w:sz="0" w:space="0" w:color="auto"/>
        <w:bottom w:val="none" w:sz="0" w:space="0" w:color="auto"/>
        <w:right w:val="none" w:sz="0" w:space="0" w:color="auto"/>
      </w:divBdr>
    </w:div>
    <w:div w:id="94207839">
      <w:marLeft w:val="0"/>
      <w:marRight w:val="0"/>
      <w:marTop w:val="0"/>
      <w:marBottom w:val="0"/>
      <w:divBdr>
        <w:top w:val="none" w:sz="0" w:space="0" w:color="auto"/>
        <w:left w:val="none" w:sz="0" w:space="0" w:color="auto"/>
        <w:bottom w:val="none" w:sz="0" w:space="0" w:color="auto"/>
        <w:right w:val="none" w:sz="0" w:space="0" w:color="auto"/>
      </w:divBdr>
    </w:div>
    <w:div w:id="94207840">
      <w:marLeft w:val="0"/>
      <w:marRight w:val="0"/>
      <w:marTop w:val="0"/>
      <w:marBottom w:val="0"/>
      <w:divBdr>
        <w:top w:val="none" w:sz="0" w:space="0" w:color="auto"/>
        <w:left w:val="none" w:sz="0" w:space="0" w:color="auto"/>
        <w:bottom w:val="none" w:sz="0" w:space="0" w:color="auto"/>
        <w:right w:val="none" w:sz="0" w:space="0" w:color="auto"/>
      </w:divBdr>
    </w:div>
    <w:div w:id="94207841">
      <w:marLeft w:val="0"/>
      <w:marRight w:val="0"/>
      <w:marTop w:val="0"/>
      <w:marBottom w:val="0"/>
      <w:divBdr>
        <w:top w:val="none" w:sz="0" w:space="0" w:color="auto"/>
        <w:left w:val="none" w:sz="0" w:space="0" w:color="auto"/>
        <w:bottom w:val="none" w:sz="0" w:space="0" w:color="auto"/>
        <w:right w:val="none" w:sz="0" w:space="0" w:color="auto"/>
      </w:divBdr>
    </w:div>
    <w:div w:id="94207842">
      <w:marLeft w:val="0"/>
      <w:marRight w:val="0"/>
      <w:marTop w:val="0"/>
      <w:marBottom w:val="0"/>
      <w:divBdr>
        <w:top w:val="none" w:sz="0" w:space="0" w:color="auto"/>
        <w:left w:val="none" w:sz="0" w:space="0" w:color="auto"/>
        <w:bottom w:val="none" w:sz="0" w:space="0" w:color="auto"/>
        <w:right w:val="none" w:sz="0" w:space="0" w:color="auto"/>
      </w:divBdr>
    </w:div>
    <w:div w:id="94207843">
      <w:marLeft w:val="0"/>
      <w:marRight w:val="0"/>
      <w:marTop w:val="0"/>
      <w:marBottom w:val="0"/>
      <w:divBdr>
        <w:top w:val="none" w:sz="0" w:space="0" w:color="auto"/>
        <w:left w:val="none" w:sz="0" w:space="0" w:color="auto"/>
        <w:bottom w:val="none" w:sz="0" w:space="0" w:color="auto"/>
        <w:right w:val="none" w:sz="0" w:space="0" w:color="auto"/>
      </w:divBdr>
    </w:div>
    <w:div w:id="94207844">
      <w:marLeft w:val="0"/>
      <w:marRight w:val="0"/>
      <w:marTop w:val="0"/>
      <w:marBottom w:val="0"/>
      <w:divBdr>
        <w:top w:val="none" w:sz="0" w:space="0" w:color="auto"/>
        <w:left w:val="none" w:sz="0" w:space="0" w:color="auto"/>
        <w:bottom w:val="none" w:sz="0" w:space="0" w:color="auto"/>
        <w:right w:val="none" w:sz="0" w:space="0" w:color="auto"/>
      </w:divBdr>
    </w:div>
    <w:div w:id="94207845">
      <w:marLeft w:val="0"/>
      <w:marRight w:val="0"/>
      <w:marTop w:val="0"/>
      <w:marBottom w:val="0"/>
      <w:divBdr>
        <w:top w:val="none" w:sz="0" w:space="0" w:color="auto"/>
        <w:left w:val="none" w:sz="0" w:space="0" w:color="auto"/>
        <w:bottom w:val="none" w:sz="0" w:space="0" w:color="auto"/>
        <w:right w:val="none" w:sz="0" w:space="0" w:color="auto"/>
      </w:divBdr>
    </w:div>
    <w:div w:id="94207846">
      <w:marLeft w:val="0"/>
      <w:marRight w:val="0"/>
      <w:marTop w:val="0"/>
      <w:marBottom w:val="0"/>
      <w:divBdr>
        <w:top w:val="none" w:sz="0" w:space="0" w:color="auto"/>
        <w:left w:val="none" w:sz="0" w:space="0" w:color="auto"/>
        <w:bottom w:val="none" w:sz="0" w:space="0" w:color="auto"/>
        <w:right w:val="none" w:sz="0" w:space="0" w:color="auto"/>
      </w:divBdr>
    </w:div>
    <w:div w:id="94207847">
      <w:marLeft w:val="0"/>
      <w:marRight w:val="0"/>
      <w:marTop w:val="0"/>
      <w:marBottom w:val="0"/>
      <w:divBdr>
        <w:top w:val="none" w:sz="0" w:space="0" w:color="auto"/>
        <w:left w:val="none" w:sz="0" w:space="0" w:color="auto"/>
        <w:bottom w:val="none" w:sz="0" w:space="0" w:color="auto"/>
        <w:right w:val="none" w:sz="0" w:space="0" w:color="auto"/>
      </w:divBdr>
    </w:div>
    <w:div w:id="391270273">
      <w:bodyDiv w:val="1"/>
      <w:marLeft w:val="0"/>
      <w:marRight w:val="0"/>
      <w:marTop w:val="0"/>
      <w:marBottom w:val="0"/>
      <w:divBdr>
        <w:top w:val="none" w:sz="0" w:space="0" w:color="auto"/>
        <w:left w:val="none" w:sz="0" w:space="0" w:color="auto"/>
        <w:bottom w:val="none" w:sz="0" w:space="0" w:color="auto"/>
        <w:right w:val="none" w:sz="0" w:space="0" w:color="auto"/>
      </w:divBdr>
    </w:div>
    <w:div w:id="424308669">
      <w:bodyDiv w:val="1"/>
      <w:marLeft w:val="0"/>
      <w:marRight w:val="0"/>
      <w:marTop w:val="0"/>
      <w:marBottom w:val="0"/>
      <w:divBdr>
        <w:top w:val="none" w:sz="0" w:space="0" w:color="auto"/>
        <w:left w:val="none" w:sz="0" w:space="0" w:color="auto"/>
        <w:bottom w:val="none" w:sz="0" w:space="0" w:color="auto"/>
        <w:right w:val="none" w:sz="0" w:space="0" w:color="auto"/>
      </w:divBdr>
    </w:div>
    <w:div w:id="503593239">
      <w:bodyDiv w:val="1"/>
      <w:marLeft w:val="0"/>
      <w:marRight w:val="0"/>
      <w:marTop w:val="0"/>
      <w:marBottom w:val="0"/>
      <w:divBdr>
        <w:top w:val="none" w:sz="0" w:space="0" w:color="auto"/>
        <w:left w:val="none" w:sz="0" w:space="0" w:color="auto"/>
        <w:bottom w:val="none" w:sz="0" w:space="0" w:color="auto"/>
        <w:right w:val="none" w:sz="0" w:space="0" w:color="auto"/>
      </w:divBdr>
    </w:div>
    <w:div w:id="581261816">
      <w:bodyDiv w:val="1"/>
      <w:marLeft w:val="0"/>
      <w:marRight w:val="0"/>
      <w:marTop w:val="0"/>
      <w:marBottom w:val="0"/>
      <w:divBdr>
        <w:top w:val="none" w:sz="0" w:space="0" w:color="auto"/>
        <w:left w:val="none" w:sz="0" w:space="0" w:color="auto"/>
        <w:bottom w:val="none" w:sz="0" w:space="0" w:color="auto"/>
        <w:right w:val="none" w:sz="0" w:space="0" w:color="auto"/>
      </w:divBdr>
    </w:div>
    <w:div w:id="901332410">
      <w:bodyDiv w:val="1"/>
      <w:marLeft w:val="0"/>
      <w:marRight w:val="0"/>
      <w:marTop w:val="0"/>
      <w:marBottom w:val="0"/>
      <w:divBdr>
        <w:top w:val="none" w:sz="0" w:space="0" w:color="auto"/>
        <w:left w:val="none" w:sz="0" w:space="0" w:color="auto"/>
        <w:bottom w:val="none" w:sz="0" w:space="0" w:color="auto"/>
        <w:right w:val="none" w:sz="0" w:space="0" w:color="auto"/>
      </w:divBdr>
    </w:div>
    <w:div w:id="1074857301">
      <w:bodyDiv w:val="1"/>
      <w:marLeft w:val="0"/>
      <w:marRight w:val="0"/>
      <w:marTop w:val="0"/>
      <w:marBottom w:val="0"/>
      <w:divBdr>
        <w:top w:val="none" w:sz="0" w:space="0" w:color="auto"/>
        <w:left w:val="none" w:sz="0" w:space="0" w:color="auto"/>
        <w:bottom w:val="none" w:sz="0" w:space="0" w:color="auto"/>
        <w:right w:val="none" w:sz="0" w:space="0" w:color="auto"/>
      </w:divBdr>
    </w:div>
    <w:div w:id="1153639810">
      <w:bodyDiv w:val="1"/>
      <w:marLeft w:val="0"/>
      <w:marRight w:val="0"/>
      <w:marTop w:val="0"/>
      <w:marBottom w:val="0"/>
      <w:divBdr>
        <w:top w:val="none" w:sz="0" w:space="0" w:color="auto"/>
        <w:left w:val="none" w:sz="0" w:space="0" w:color="auto"/>
        <w:bottom w:val="none" w:sz="0" w:space="0" w:color="auto"/>
        <w:right w:val="none" w:sz="0" w:space="0" w:color="auto"/>
      </w:divBdr>
    </w:div>
    <w:div w:id="1348369384">
      <w:bodyDiv w:val="1"/>
      <w:marLeft w:val="0"/>
      <w:marRight w:val="0"/>
      <w:marTop w:val="0"/>
      <w:marBottom w:val="0"/>
      <w:divBdr>
        <w:top w:val="none" w:sz="0" w:space="0" w:color="auto"/>
        <w:left w:val="none" w:sz="0" w:space="0" w:color="auto"/>
        <w:bottom w:val="none" w:sz="0" w:space="0" w:color="auto"/>
        <w:right w:val="none" w:sz="0" w:space="0" w:color="auto"/>
      </w:divBdr>
    </w:div>
    <w:div w:id="1447580245">
      <w:bodyDiv w:val="1"/>
      <w:marLeft w:val="0"/>
      <w:marRight w:val="0"/>
      <w:marTop w:val="0"/>
      <w:marBottom w:val="0"/>
      <w:divBdr>
        <w:top w:val="none" w:sz="0" w:space="0" w:color="auto"/>
        <w:left w:val="none" w:sz="0" w:space="0" w:color="auto"/>
        <w:bottom w:val="none" w:sz="0" w:space="0" w:color="auto"/>
        <w:right w:val="none" w:sz="0" w:space="0" w:color="auto"/>
      </w:divBdr>
    </w:div>
    <w:div w:id="1604143018">
      <w:bodyDiv w:val="1"/>
      <w:marLeft w:val="0"/>
      <w:marRight w:val="0"/>
      <w:marTop w:val="0"/>
      <w:marBottom w:val="0"/>
      <w:divBdr>
        <w:top w:val="none" w:sz="0" w:space="0" w:color="auto"/>
        <w:left w:val="none" w:sz="0" w:space="0" w:color="auto"/>
        <w:bottom w:val="none" w:sz="0" w:space="0" w:color="auto"/>
        <w:right w:val="none" w:sz="0" w:space="0" w:color="auto"/>
      </w:divBdr>
    </w:div>
    <w:div w:id="1609657835">
      <w:bodyDiv w:val="1"/>
      <w:marLeft w:val="0"/>
      <w:marRight w:val="0"/>
      <w:marTop w:val="0"/>
      <w:marBottom w:val="0"/>
      <w:divBdr>
        <w:top w:val="none" w:sz="0" w:space="0" w:color="auto"/>
        <w:left w:val="none" w:sz="0" w:space="0" w:color="auto"/>
        <w:bottom w:val="none" w:sz="0" w:space="0" w:color="auto"/>
        <w:right w:val="none" w:sz="0" w:space="0" w:color="auto"/>
      </w:divBdr>
    </w:div>
    <w:div w:id="1637296000">
      <w:bodyDiv w:val="1"/>
      <w:marLeft w:val="0"/>
      <w:marRight w:val="0"/>
      <w:marTop w:val="0"/>
      <w:marBottom w:val="0"/>
      <w:divBdr>
        <w:top w:val="none" w:sz="0" w:space="0" w:color="auto"/>
        <w:left w:val="none" w:sz="0" w:space="0" w:color="auto"/>
        <w:bottom w:val="none" w:sz="0" w:space="0" w:color="auto"/>
        <w:right w:val="none" w:sz="0" w:space="0" w:color="auto"/>
      </w:divBdr>
    </w:div>
    <w:div w:id="21330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Налоговые доходы</c:v>
                </c:pt>
              </c:strCache>
            </c:strRef>
          </c:tx>
          <c:invertIfNegative val="0"/>
          <c:cat>
            <c:strRef>
              <c:f>Лист1!$A$2:$A$5</c:f>
              <c:strCache>
                <c:ptCount val="4"/>
                <c:pt idx="0">
                  <c:v>2012 год - факт</c:v>
                </c:pt>
                <c:pt idx="1">
                  <c:v>2013 год - утвержденный план</c:v>
                </c:pt>
                <c:pt idx="2">
                  <c:v>2013 год - уточненный план</c:v>
                </c:pt>
                <c:pt idx="3">
                  <c:v>2014 год - прогноз</c:v>
                </c:pt>
              </c:strCache>
            </c:strRef>
          </c:cat>
          <c:val>
            <c:numRef>
              <c:f>Лист1!$B$2:$B$5</c:f>
              <c:numCache>
                <c:formatCode>0.0</c:formatCode>
                <c:ptCount val="4"/>
                <c:pt idx="0">
                  <c:v>300.39999999999998</c:v>
                </c:pt>
                <c:pt idx="1">
                  <c:v>283</c:v>
                </c:pt>
                <c:pt idx="2">
                  <c:v>298</c:v>
                </c:pt>
                <c:pt idx="3">
                  <c:v>407</c:v>
                </c:pt>
              </c:numCache>
            </c:numRef>
          </c:val>
        </c:ser>
        <c:ser>
          <c:idx val="1"/>
          <c:order val="1"/>
          <c:tx>
            <c:strRef>
              <c:f>Лист1!$C$1</c:f>
              <c:strCache>
                <c:ptCount val="1"/>
                <c:pt idx="0">
                  <c:v>Неналоговые доходы</c:v>
                </c:pt>
              </c:strCache>
            </c:strRef>
          </c:tx>
          <c:invertIfNegative val="0"/>
          <c:cat>
            <c:strRef>
              <c:f>Лист1!$A$2:$A$5</c:f>
              <c:strCache>
                <c:ptCount val="4"/>
                <c:pt idx="0">
                  <c:v>2012 год - факт</c:v>
                </c:pt>
                <c:pt idx="1">
                  <c:v>2013 год - утвержденный план</c:v>
                </c:pt>
                <c:pt idx="2">
                  <c:v>2013 год - уточненный план</c:v>
                </c:pt>
                <c:pt idx="3">
                  <c:v>2014 год - прогноз</c:v>
                </c:pt>
              </c:strCache>
            </c:strRef>
          </c:cat>
          <c:val>
            <c:numRef>
              <c:f>Лист1!$C$2:$C$5</c:f>
              <c:numCache>
                <c:formatCode>0.0</c:formatCode>
                <c:ptCount val="4"/>
                <c:pt idx="0">
                  <c:v>91.8</c:v>
                </c:pt>
                <c:pt idx="1">
                  <c:v>14</c:v>
                </c:pt>
                <c:pt idx="2">
                  <c:v>110</c:v>
                </c:pt>
                <c:pt idx="3">
                  <c:v>88</c:v>
                </c:pt>
              </c:numCache>
            </c:numRef>
          </c:val>
        </c:ser>
        <c:ser>
          <c:idx val="2"/>
          <c:order val="2"/>
          <c:tx>
            <c:strRef>
              <c:f>Лист1!$D$1</c:f>
              <c:strCache>
                <c:ptCount val="1"/>
                <c:pt idx="0">
                  <c:v>Безвозмездные перечисления</c:v>
                </c:pt>
              </c:strCache>
            </c:strRef>
          </c:tx>
          <c:invertIfNegative val="0"/>
          <c:cat>
            <c:strRef>
              <c:f>Лист1!$A$2:$A$5</c:f>
              <c:strCache>
                <c:ptCount val="4"/>
                <c:pt idx="0">
                  <c:v>2012 год - факт</c:v>
                </c:pt>
                <c:pt idx="1">
                  <c:v>2013 год - утвержденный план</c:v>
                </c:pt>
                <c:pt idx="2">
                  <c:v>2013 год - уточненный план</c:v>
                </c:pt>
                <c:pt idx="3">
                  <c:v>2014 год - прогноз</c:v>
                </c:pt>
              </c:strCache>
            </c:strRef>
          </c:cat>
          <c:val>
            <c:numRef>
              <c:f>Лист1!$D$2:$D$5</c:f>
              <c:numCache>
                <c:formatCode>0.0</c:formatCode>
                <c:ptCount val="4"/>
                <c:pt idx="0">
                  <c:v>1480</c:v>
                </c:pt>
                <c:pt idx="1">
                  <c:v>1476</c:v>
                </c:pt>
                <c:pt idx="2">
                  <c:v>1742.2</c:v>
                </c:pt>
                <c:pt idx="3">
                  <c:v>1573.4</c:v>
                </c:pt>
              </c:numCache>
            </c:numRef>
          </c:val>
        </c:ser>
        <c:dLbls>
          <c:showLegendKey val="0"/>
          <c:showVal val="0"/>
          <c:showCatName val="0"/>
          <c:showSerName val="0"/>
          <c:showPercent val="0"/>
          <c:showBubbleSize val="0"/>
        </c:dLbls>
        <c:gapWidth val="150"/>
        <c:axId val="370542848"/>
        <c:axId val="416724480"/>
      </c:barChart>
      <c:catAx>
        <c:axId val="370542848"/>
        <c:scaling>
          <c:orientation val="minMax"/>
        </c:scaling>
        <c:delete val="0"/>
        <c:axPos val="b"/>
        <c:majorTickMark val="out"/>
        <c:minorTickMark val="none"/>
        <c:tickLblPos val="nextTo"/>
        <c:crossAx val="416724480"/>
        <c:crosses val="autoZero"/>
        <c:auto val="1"/>
        <c:lblAlgn val="ctr"/>
        <c:lblOffset val="100"/>
        <c:noMultiLvlLbl val="0"/>
      </c:catAx>
      <c:valAx>
        <c:axId val="416724480"/>
        <c:scaling>
          <c:orientation val="minMax"/>
        </c:scaling>
        <c:delete val="0"/>
        <c:axPos val="l"/>
        <c:majorGridlines/>
        <c:numFmt formatCode="0.0" sourceLinked="1"/>
        <c:majorTickMark val="out"/>
        <c:minorTickMark val="none"/>
        <c:tickLblPos val="nextTo"/>
        <c:crossAx val="370542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7910447761194"/>
          <c:y val="0.16417910447761194"/>
          <c:w val="0.70149253731343286"/>
          <c:h val="0.70149253731343286"/>
        </c:manualLayout>
      </c:layout>
      <c:barChart>
        <c:barDir val="col"/>
        <c:grouping val="clustered"/>
        <c:varyColors val="0"/>
        <c:dLbls>
          <c:showLegendKey val="0"/>
          <c:showVal val="0"/>
          <c:showCatName val="0"/>
          <c:showSerName val="0"/>
          <c:showPercent val="0"/>
          <c:showBubbleSize val="0"/>
        </c:dLbls>
        <c:gapWidth val="150"/>
        <c:axId val="313633792"/>
        <c:axId val="439141120"/>
      </c:barChart>
      <c:catAx>
        <c:axId val="313633792"/>
        <c:scaling>
          <c:orientation val="minMax"/>
        </c:scaling>
        <c:delete val="0"/>
        <c:axPos val="b"/>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439141120"/>
        <c:crosses val="autoZero"/>
        <c:auto val="1"/>
        <c:lblAlgn val="ctr"/>
        <c:lblOffset val="100"/>
        <c:tickMarkSkip val="1"/>
        <c:noMultiLvlLbl val="0"/>
      </c:catAx>
      <c:valAx>
        <c:axId val="439141120"/>
        <c:scaling>
          <c:orientation val="minMax"/>
        </c:scaling>
        <c:delete val="0"/>
        <c:axPos val="l"/>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313633792"/>
        <c:crosses val="autoZero"/>
        <c:crossBetween val="between"/>
      </c:valAx>
      <c:spPr>
        <a:noFill/>
        <a:ln w="25602">
          <a:noFill/>
        </a:ln>
      </c:spPr>
    </c:plotArea>
    <c:plotVisOnly val="1"/>
    <c:dispBlanksAs val="gap"/>
    <c:showDLblsOverMax val="0"/>
  </c:chart>
  <c:spPr>
    <a:noFill/>
    <a:ln>
      <a:noFill/>
    </a:ln>
  </c:spPr>
  <c:txPr>
    <a:bodyPr/>
    <a:lstStyle/>
    <a:p>
      <a:pPr>
        <a:defRPr sz="1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0.19088767347195371"/>
          <c:y val="0.33333333333333331"/>
          <c:w val="0.55275747717164103"/>
          <c:h val="0.40726486643157334"/>
        </c:manualLayout>
      </c:layout>
      <c:pie3D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explosion val="17"/>
          <c:dPt>
            <c:idx val="0"/>
            <c:bubble3D val="0"/>
          </c:dPt>
          <c:dPt>
            <c:idx val="1"/>
            <c:bubble3D val="0"/>
            <c:spPr>
              <a:solidFill>
                <a:srgbClr val="FFFF00"/>
              </a:solidFill>
              <a:ln w="12719">
                <a:solidFill>
                  <a:srgbClr val="000000"/>
                </a:solidFill>
                <a:prstDash val="solid"/>
              </a:ln>
            </c:spPr>
          </c:dPt>
          <c:dPt>
            <c:idx val="2"/>
            <c:bubble3D val="0"/>
            <c:spPr>
              <a:solidFill>
                <a:srgbClr val="00FF00"/>
              </a:solidFill>
              <a:ln w="12719">
                <a:solidFill>
                  <a:srgbClr val="000000"/>
                </a:solidFill>
                <a:prstDash val="solid"/>
              </a:ln>
            </c:spPr>
          </c:dPt>
          <c:dPt>
            <c:idx val="3"/>
            <c:bubble3D val="0"/>
            <c:spPr>
              <a:solidFill>
                <a:srgbClr val="CCFFFF"/>
              </a:solidFill>
              <a:ln w="12719">
                <a:solidFill>
                  <a:srgbClr val="000000"/>
                </a:solidFill>
                <a:prstDash val="solid"/>
              </a:ln>
            </c:spPr>
          </c:dPt>
          <c:dPt>
            <c:idx val="4"/>
            <c:bubble3D val="0"/>
            <c:spPr>
              <a:solidFill>
                <a:srgbClr val="FF0000"/>
              </a:solidFill>
              <a:ln w="12719">
                <a:solidFill>
                  <a:srgbClr val="000000"/>
                </a:solidFill>
                <a:prstDash val="solid"/>
              </a:ln>
            </c:spPr>
          </c:dPt>
          <c:dLbls>
            <c:dLbl>
              <c:idx val="0"/>
              <c:layout>
                <c:manualLayout>
                  <c:x val="2.1581718452858063E-2"/>
                  <c:y val="-0.10986425776532535"/>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1"/>
              <c:layout>
                <c:manualLayout>
                  <c:x val="2.8178995261553225E-2"/>
                  <c:y val="0.14851824234345073"/>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2"/>
              <c:layout>
                <c:manualLayout>
                  <c:x val="-4.4122778065915413E-2"/>
                  <c:y val="0.11382034684314768"/>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3"/>
              <c:layout>
                <c:manualLayout>
                  <c:x val="-5.4325836515944491E-2"/>
                  <c:y val="-0.17885850925076083"/>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4"/>
              <c:layout>
                <c:manualLayout>
                  <c:x val="2.7079070206044605E-2"/>
                  <c:y val="-0.10428674943239458"/>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5"/>
              <c:layout>
                <c:manualLayout>
                  <c:xMode val="edge"/>
                  <c:yMode val="edge"/>
                  <c:x val="9.5890410958904104E-2"/>
                  <c:y val="0.12056737588652482"/>
                </c:manualLayout>
              </c:layout>
              <c:dLblPos val="bestFit"/>
              <c:showLegendKey val="0"/>
              <c:showVal val="1"/>
              <c:showCatName val="1"/>
              <c:showSerName val="0"/>
              <c:showPercent val="1"/>
              <c:showBubbleSize val="0"/>
              <c:separator>
</c:separator>
            </c:dLbl>
            <c:numFmt formatCode="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Sheet1!$B$1:$F$1</c:f>
              <c:strCache>
                <c:ptCount val="5"/>
                <c:pt idx="0">
                  <c:v>Общегосударственные вопросы</c:v>
                </c:pt>
                <c:pt idx="1">
                  <c:v>Военкомат</c:v>
                </c:pt>
                <c:pt idx="2">
                  <c:v>Жилищно-коммунальное хозяйство</c:v>
                </c:pt>
                <c:pt idx="3">
                  <c:v>Культура</c:v>
                </c:pt>
                <c:pt idx="4">
                  <c:v>Межбюджетные трансферты</c:v>
                </c:pt>
              </c:strCache>
            </c:strRef>
          </c:cat>
          <c:val>
            <c:numRef>
              <c:f>Sheet1!$B$2:$F$2</c:f>
              <c:numCache>
                <c:formatCode>General</c:formatCode>
                <c:ptCount val="5"/>
                <c:pt idx="0">
                  <c:v>993.9</c:v>
                </c:pt>
                <c:pt idx="1">
                  <c:v>78.400000000000006</c:v>
                </c:pt>
                <c:pt idx="2">
                  <c:v>445</c:v>
                </c:pt>
                <c:pt idx="3" formatCode="0.0">
                  <c:v>544.6</c:v>
                </c:pt>
                <c:pt idx="4">
                  <c:v>6.5</c:v>
                </c:pt>
              </c:numCache>
            </c:numRef>
          </c:val>
        </c:ser>
        <c:ser>
          <c:idx val="2"/>
          <c:order val="1"/>
          <c:tx>
            <c:strRef>
              <c:f>Sheet1!$A$4</c:f>
              <c:strCache>
                <c:ptCount val="1"/>
              </c:strCache>
            </c:strRef>
          </c:tx>
          <c:spPr>
            <a:solidFill>
              <a:srgbClr val="FFFFCC"/>
            </a:solidFill>
            <a:ln w="12719">
              <a:solidFill>
                <a:srgbClr val="000000"/>
              </a:solidFill>
              <a:prstDash val="solid"/>
            </a:ln>
          </c:spPr>
          <c:explosion val="17"/>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dPt>
            <c:idx val="2"/>
            <c:bubble3D val="0"/>
          </c:dPt>
          <c:dPt>
            <c:idx val="3"/>
            <c:bubble3D val="0"/>
            <c:spPr>
              <a:solidFill>
                <a:srgbClr val="CCFFFF"/>
              </a:solidFill>
              <a:ln w="12719">
                <a:solidFill>
                  <a:srgbClr val="000000"/>
                </a:solidFill>
                <a:prstDash val="solid"/>
              </a:ln>
            </c:spPr>
          </c:dPt>
          <c:dPt>
            <c:idx val="4"/>
            <c:bubble3D val="0"/>
            <c:spPr>
              <a:solidFill>
                <a:srgbClr val="660066"/>
              </a:solidFill>
              <a:ln w="12719">
                <a:solidFill>
                  <a:srgbClr val="000000"/>
                </a:solidFill>
                <a:prstDash val="solid"/>
              </a:ln>
            </c:spPr>
          </c:dPt>
          <c:dLbls>
            <c:numFmt formatCode="0%" sourceLinked="0"/>
            <c:spPr>
              <a:noFill/>
              <a:ln w="25438">
                <a:noFill/>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Sheet1!$B$1:$F$1</c:f>
              <c:strCache>
                <c:ptCount val="5"/>
                <c:pt idx="0">
                  <c:v>Общегосударственные вопросы</c:v>
                </c:pt>
                <c:pt idx="1">
                  <c:v>Военкомат</c:v>
                </c:pt>
                <c:pt idx="2">
                  <c:v>Жилищно-коммунальное хозяйство</c:v>
                </c:pt>
                <c:pt idx="3">
                  <c:v>Культура</c:v>
                </c:pt>
                <c:pt idx="4">
                  <c:v>Межбюджетные трансферты</c:v>
                </c:pt>
              </c:strCache>
            </c:strRef>
          </c:cat>
          <c:val>
            <c:numRef>
              <c:f>Sheet1!$B$4:$F$4</c:f>
              <c:numCache>
                <c:formatCode>General</c:formatCode>
                <c:ptCount val="5"/>
              </c:numCache>
            </c:numRef>
          </c:val>
        </c:ser>
        <c:dLbls>
          <c:showLegendKey val="0"/>
          <c:showVal val="1"/>
          <c:showCatName val="1"/>
          <c:showSerName val="0"/>
          <c:showPercent val="1"/>
          <c:showBubbleSize val="0"/>
          <c:separator>
</c:separator>
          <c:showLeaderLines val="1"/>
        </c:dLbls>
      </c:pie3DChart>
      <c:spPr>
        <a:noFill/>
        <a:ln w="25438">
          <a:noFill/>
        </a:ln>
      </c:spPr>
    </c:plotArea>
    <c:plotVisOnly val="1"/>
    <c:dispBlanksAs val="zero"/>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A37D-17A6-4BD6-9078-61B075E3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13</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MFRT</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счетная палата</dc:creator>
  <cp:keywords/>
  <dc:description/>
  <cp:lastModifiedBy>User</cp:lastModifiedBy>
  <cp:revision>206</cp:revision>
  <cp:lastPrinted>2013-11-27T11:06:00Z</cp:lastPrinted>
  <dcterms:created xsi:type="dcterms:W3CDTF">2011-12-05T12:43:00Z</dcterms:created>
  <dcterms:modified xsi:type="dcterms:W3CDTF">2013-11-30T06:50:00Z</dcterms:modified>
</cp:coreProperties>
</file>