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773F7" w:rsidP="00107FC2">
            <w:pPr>
              <w:rPr>
                <w:sz w:val="28"/>
              </w:rPr>
            </w:pPr>
            <w:r>
              <w:rPr>
                <w:sz w:val="28"/>
              </w:rPr>
              <w:t>№ 125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773F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04 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D72A1" w:rsidRDefault="001D72A1" w:rsidP="001D72A1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предоставления из бюджета Мамадышского муниципального района Республики Татарстан иных межбюджетных трансфертов бюджетам поселений Мамадышского муниципального района Республики </w:t>
      </w:r>
    </w:p>
    <w:p w:rsidR="001D72A1" w:rsidRDefault="001D72A1" w:rsidP="001D72A1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Татарстан на финансовое обеспечение исполнения расходных обязательств </w:t>
      </w:r>
    </w:p>
    <w:p w:rsidR="001D72A1" w:rsidRDefault="001D72A1" w:rsidP="001D72A1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поселений.</w:t>
      </w:r>
    </w:p>
    <w:p w:rsidR="001D72A1" w:rsidRDefault="001D72A1" w:rsidP="001D72A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D72A1" w:rsidRDefault="001D72A1" w:rsidP="001D72A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постановлением Кабинета Министров Республики Татарстан от 28.03.2019 года № 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образований»,  в целях стимулирования роста налогового потенциала по налогу на профессиональный доход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 п о с т а н о в л я е т:</w:t>
      </w:r>
    </w:p>
    <w:p w:rsidR="001D72A1" w:rsidRDefault="001D72A1" w:rsidP="001D72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предоставления из бюджета Мамадышского муниципального района Республики Татарстан иных межбюджетных трансфертов бюджетам поселений Мамадышского муниципального района Республики Татарстан на </w:t>
      </w:r>
      <w:r>
        <w:rPr>
          <w:bCs/>
          <w:sz w:val="28"/>
          <w:szCs w:val="28"/>
        </w:rPr>
        <w:t>финансовое обеспечение исполнения расходных обязательств поселений согласно приложению 1</w:t>
      </w:r>
      <w:r>
        <w:rPr>
          <w:sz w:val="28"/>
          <w:szCs w:val="28"/>
        </w:rPr>
        <w:t>.</w:t>
      </w:r>
    </w:p>
    <w:p w:rsidR="001D72A1" w:rsidRDefault="001D72A1" w:rsidP="001D72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 первого заместителя руководителя Исполнительного комитета Мамадышского муниципального района  Республики Татарстан Хузязянова М.Р</w:t>
      </w:r>
    </w:p>
    <w:p w:rsidR="001D72A1" w:rsidRDefault="001D72A1" w:rsidP="001D72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2A1" w:rsidRDefault="001D72A1" w:rsidP="001D72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2A1" w:rsidRDefault="001D72A1" w:rsidP="001D72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2A1" w:rsidRDefault="001D72A1" w:rsidP="001D7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И.М.Дарземанов                                                                </w:t>
      </w:r>
    </w:p>
    <w:p w:rsidR="001D72A1" w:rsidRDefault="001D72A1" w:rsidP="001D72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35"/>
      <w:bookmarkEnd w:id="0"/>
    </w:p>
    <w:p w:rsidR="001D72A1" w:rsidRDefault="001D72A1" w:rsidP="001D72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Приложение №  1</w:t>
      </w:r>
    </w:p>
    <w:p w:rsidR="001D72A1" w:rsidRDefault="001D72A1" w:rsidP="001D72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 </w:t>
      </w:r>
    </w:p>
    <w:p w:rsidR="001D72A1" w:rsidRDefault="001D72A1" w:rsidP="001D72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Исполнительного комитета</w:t>
      </w:r>
    </w:p>
    <w:p w:rsidR="001D72A1" w:rsidRDefault="001D72A1" w:rsidP="001D72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Мамадышского муниципального</w:t>
      </w:r>
    </w:p>
    <w:p w:rsidR="001D72A1" w:rsidRDefault="001D72A1" w:rsidP="001D72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района Республики Татарстан</w:t>
      </w:r>
    </w:p>
    <w:p w:rsidR="001D72A1" w:rsidRDefault="001D72A1" w:rsidP="001D72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1773F7">
        <w:rPr>
          <w:sz w:val="28"/>
          <w:szCs w:val="28"/>
        </w:rPr>
        <w:t xml:space="preserve">                от  17.04.2019 №  125</w:t>
      </w:r>
      <w:bookmarkStart w:id="1" w:name="_GoBack"/>
      <w:bookmarkEnd w:id="1"/>
    </w:p>
    <w:p w:rsidR="001D72A1" w:rsidRDefault="001D72A1" w:rsidP="001D72A1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из бюджета Мамадышского муниципального</w:t>
      </w: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иных межбюджетных трансфертов</w:t>
      </w: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бюджетам поселений Мамадышского муниципального района</w:t>
      </w:r>
    </w:p>
    <w:p w:rsidR="001D72A1" w:rsidRDefault="001D72A1" w:rsidP="001D72A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Республики Татарстан на </w:t>
      </w:r>
      <w:r>
        <w:rPr>
          <w:bCs/>
          <w:sz w:val="28"/>
          <w:szCs w:val="28"/>
        </w:rPr>
        <w:t xml:space="preserve">финансовое обеспечение исполнения </w:t>
      </w: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расходных обязательств поселений</w:t>
      </w:r>
    </w:p>
    <w:p w:rsidR="001D72A1" w:rsidRDefault="001D72A1" w:rsidP="001D72A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72A1" w:rsidRDefault="001D72A1" w:rsidP="001D72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механизм предоставления из бюджета Мамадышского муниципального района Республики Татарстан иных межбюджетных трансфертов бюджетам поселений  Мамадышского муниципального района Республики Татарстан (далее – иные межбюджетные трансферты, муниципальные образования).</w:t>
      </w:r>
    </w:p>
    <w:p w:rsidR="001D72A1" w:rsidRDefault="001D72A1" w:rsidP="001D72A1">
      <w:pPr>
        <w:suppressAutoHyphens/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Иные межбюджетные трансферты предоставляются в целях </w:t>
      </w:r>
      <w:r>
        <w:rPr>
          <w:rFonts w:eastAsia="Calibri"/>
          <w:sz w:val="28"/>
          <w:szCs w:val="28"/>
          <w:lang w:eastAsia="en-US"/>
        </w:rPr>
        <w:t>стимулирования роста налогового потенциала по налогу на профессиональный доход в Мамадышском муниципальном районе Республики Татарстан</w:t>
      </w:r>
      <w:r>
        <w:rPr>
          <w:sz w:val="28"/>
          <w:szCs w:val="28"/>
        </w:rPr>
        <w:t xml:space="preserve"> бюджетам поселений Мамадышского муниципального района на </w:t>
      </w:r>
      <w:r>
        <w:rPr>
          <w:bCs/>
          <w:sz w:val="28"/>
          <w:szCs w:val="28"/>
        </w:rPr>
        <w:t xml:space="preserve">финансовое обеспечение исполнения расходных обязательств </w:t>
      </w:r>
      <w:r>
        <w:rPr>
          <w:sz w:val="28"/>
          <w:szCs w:val="28"/>
        </w:rPr>
        <w:t>поселений</w:t>
      </w:r>
      <w:r>
        <w:rPr>
          <w:bCs/>
          <w:sz w:val="28"/>
          <w:szCs w:val="28"/>
        </w:rPr>
        <w:t>;</w:t>
      </w:r>
    </w:p>
    <w:p w:rsidR="001D72A1" w:rsidRDefault="001D72A1" w:rsidP="001D72A1">
      <w:pPr>
        <w:suppressAutoHyphens/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Иные межбюджетные трансферты предоставляются бюджетам поселений ежеквартально до 30 числа месяца, следующего за истекшим кварталом, в соответствующем финансовом году в пределах объема бюджетных ассигнований, предусмотренных на указанные цели решением о бюджете Мамадышского муниципального района Республики Татарстан на соответствующий финансовый год и на плановый период.</w:t>
      </w:r>
    </w:p>
    <w:p w:rsidR="001D72A1" w:rsidRDefault="001D72A1" w:rsidP="001D72A1">
      <w:pPr>
        <w:suppressAutoHyphens/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Главным распорядителем бюджетных средств, предоставляемых в соответствии с настоящим Порядком, является Финансово-бюджетная палата Мамадышского муниципального района Республики Татарстан (далее – финансово-бюджетная палата).</w:t>
      </w:r>
    </w:p>
    <w:p w:rsidR="001D72A1" w:rsidRDefault="001D72A1" w:rsidP="001D72A1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Распределение иных межбюджетных трансфертов утверждается Исполнительным комитетом Мамадышского муниципального района Республики Татарстан.</w:t>
      </w:r>
    </w:p>
    <w:p w:rsidR="001D72A1" w:rsidRDefault="001D72A1" w:rsidP="001D72A1">
      <w:pPr>
        <w:suppressAutoHyphens/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Объем иных межбюджетных трансфертов для i-го поселения за соответствующий квартал определяется по следующей формуле:</w:t>
      </w:r>
    </w:p>
    <w:p w:rsidR="001D72A1" w:rsidRDefault="001D72A1" w:rsidP="001D72A1">
      <w:pPr>
        <w:pStyle w:val="af2"/>
        <w:suppressAutoHyphens/>
        <w:spacing w:after="120"/>
        <w:ind w:firstLine="709"/>
        <w:contextualSpacing/>
        <w:rPr>
          <w:sz w:val="28"/>
        </w:rPr>
      </w:pPr>
    </w:p>
    <w:p w:rsidR="001D72A1" w:rsidRDefault="001D72A1" w:rsidP="001D72A1">
      <w:pPr>
        <w:pStyle w:val="af2"/>
        <w:suppressAutoHyphens/>
        <w:spacing w:after="120"/>
        <w:contextualSpacing/>
        <w:jc w:val="center"/>
        <w:rPr>
          <w:sz w:val="28"/>
        </w:rPr>
      </w:pPr>
      <w:r>
        <w:rPr>
          <w:sz w:val="28"/>
        </w:rPr>
        <w:t>МТ</w:t>
      </w:r>
      <w:r>
        <w:rPr>
          <w:sz w:val="28"/>
          <w:vertAlign w:val="subscript"/>
        </w:rPr>
        <w:t>i</w:t>
      </w:r>
      <w:r>
        <w:rPr>
          <w:sz w:val="28"/>
          <w:vertAlign w:val="superscript"/>
        </w:rPr>
        <w:t xml:space="preserve">кв </w:t>
      </w:r>
      <w:r>
        <w:rPr>
          <w:sz w:val="28"/>
        </w:rPr>
        <w:t>= НПД</w:t>
      </w:r>
      <w:r>
        <w:rPr>
          <w:sz w:val="28"/>
          <w:vertAlign w:val="subscript"/>
        </w:rPr>
        <w:t>i</w:t>
      </w:r>
      <w:r>
        <w:rPr>
          <w:sz w:val="28"/>
          <w:vertAlign w:val="superscript"/>
        </w:rPr>
        <w:t>год</w:t>
      </w:r>
      <w:r>
        <w:rPr>
          <w:sz w:val="28"/>
        </w:rPr>
        <w:t xml:space="preserve"> – НПД</w:t>
      </w:r>
      <w:r>
        <w:rPr>
          <w:sz w:val="28"/>
          <w:vertAlign w:val="subscript"/>
        </w:rPr>
        <w:t>i</w:t>
      </w:r>
      <w:r>
        <w:rPr>
          <w:sz w:val="28"/>
          <w:vertAlign w:val="superscript"/>
        </w:rPr>
        <w:t>пт</w:t>
      </w:r>
      <w:r>
        <w:rPr>
          <w:sz w:val="28"/>
        </w:rPr>
        <w:t>,</w:t>
      </w:r>
    </w:p>
    <w:p w:rsidR="001D72A1" w:rsidRDefault="001D72A1" w:rsidP="001D72A1">
      <w:pPr>
        <w:pStyle w:val="af2"/>
        <w:suppressAutoHyphens/>
        <w:spacing w:after="120"/>
        <w:ind w:firstLine="709"/>
        <w:contextualSpacing/>
        <w:rPr>
          <w:sz w:val="28"/>
        </w:rPr>
      </w:pPr>
      <w:r>
        <w:rPr>
          <w:sz w:val="28"/>
        </w:rPr>
        <w:t>где:</w:t>
      </w:r>
    </w:p>
    <w:p w:rsidR="001D72A1" w:rsidRDefault="001D72A1" w:rsidP="001D72A1">
      <w:pPr>
        <w:pStyle w:val="af2"/>
        <w:suppressAutoHyphens/>
        <w:spacing w:after="120"/>
        <w:ind w:firstLine="709"/>
        <w:contextualSpacing/>
        <w:rPr>
          <w:sz w:val="28"/>
        </w:rPr>
      </w:pPr>
    </w:p>
    <w:p w:rsidR="001D72A1" w:rsidRDefault="001D72A1" w:rsidP="001D72A1">
      <w:pPr>
        <w:pStyle w:val="af2"/>
        <w:suppressAutoHyphens/>
        <w:spacing w:after="120"/>
        <w:ind w:firstLine="709"/>
        <w:contextualSpacing/>
        <w:jc w:val="both"/>
        <w:rPr>
          <w:sz w:val="28"/>
        </w:rPr>
      </w:pPr>
      <w:r>
        <w:rPr>
          <w:sz w:val="28"/>
        </w:rPr>
        <w:t>МТ</w:t>
      </w:r>
      <w:r>
        <w:rPr>
          <w:sz w:val="28"/>
          <w:vertAlign w:val="subscript"/>
        </w:rPr>
        <w:t>i</w:t>
      </w:r>
      <w:r>
        <w:rPr>
          <w:sz w:val="28"/>
          <w:vertAlign w:val="superscript"/>
        </w:rPr>
        <w:t>кв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объем иного межбюджетного трансферта i-му поселению за соответствующий квартал, рублей;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НПД</w:t>
      </w:r>
      <w:r>
        <w:rPr>
          <w:sz w:val="28"/>
          <w:vertAlign w:val="subscript"/>
        </w:rPr>
        <w:t>i</w:t>
      </w:r>
      <w:r>
        <w:rPr>
          <w:sz w:val="28"/>
          <w:vertAlign w:val="superscript"/>
        </w:rPr>
        <w:t xml:space="preserve">год </w:t>
      </w:r>
      <w:r>
        <w:rPr>
          <w:sz w:val="28"/>
        </w:rPr>
        <w:t xml:space="preserve">– сумма налога на профессиональный доход, поступившая в бюджет Мамадышского муниципального района Республики Татарстан с территории i-го поселения от налогоплательщиков, </w:t>
      </w:r>
      <w:r>
        <w:rPr>
          <w:sz w:val="28"/>
          <w:szCs w:val="28"/>
        </w:rPr>
        <w:t>зарегистрированных на территории Мамадышского муниципального района Республики Татарстан,</w:t>
      </w:r>
      <w:r>
        <w:rPr>
          <w:sz w:val="28"/>
        </w:rPr>
        <w:t xml:space="preserve"> нарастающим итогом с начала года, рублей;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</w:rPr>
      </w:pPr>
      <w:r>
        <w:rPr>
          <w:sz w:val="28"/>
        </w:rPr>
        <w:t>НПД</w:t>
      </w:r>
      <w:r>
        <w:rPr>
          <w:sz w:val="28"/>
          <w:vertAlign w:val="subscript"/>
        </w:rPr>
        <w:t>i</w:t>
      </w:r>
      <w:r>
        <w:rPr>
          <w:sz w:val="28"/>
          <w:vertAlign w:val="superscript"/>
        </w:rPr>
        <w:t>пт</w:t>
      </w:r>
      <w:r>
        <w:rPr>
          <w:sz w:val="28"/>
        </w:rPr>
        <w:t xml:space="preserve"> – сумма налога на профессиональный доход, поступившего в бюджет </w:t>
      </w:r>
      <w:r>
        <w:rPr>
          <w:sz w:val="28"/>
        </w:rPr>
        <w:br/>
        <w:t xml:space="preserve">i-го поселения от налогоплательщиков, </w:t>
      </w:r>
      <w:r>
        <w:rPr>
          <w:sz w:val="28"/>
          <w:szCs w:val="28"/>
        </w:rPr>
        <w:t xml:space="preserve">зарегистрированных на территории Мамадышского муниципального района Республики Татарстан, </w:t>
      </w:r>
      <w:r>
        <w:rPr>
          <w:sz w:val="28"/>
        </w:rPr>
        <w:t>учтенная ранее в целях предоставления иных межбюджетных трансфертов, рублей.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Условием предоставления иных межбюджетных трансфертов бюджетам поселений, входящих в состав муниципального района является наличие нормативного правового акта поселения, определяющего направления расходов, осуществляемых за счет средств иных межбюджетных трансфертов.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Иные межбюджетные трансферты перечисляются финансово-бюджетной палатой бюджетам поселений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Исполнительные комитеты поселений (далее – исполкомы поселений) представляют в финансово-бюджетную палату отчет об использовании иных межбюджетных трансфертов по форме и в порядке, установленным финансово-бюджетной палатой.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Не использованные на 1 января текущего финансового года иные межбюджетные трансферты, полученные в соответствии с настоящим Порядком, подлежат возврату в доход бюджета Мамадышского муниципального района Республики Татарстан в течение первых 15 рабочих дней текущего финансового года.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финансово-бюджетной палаты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поселения, которому они были ранее предоставлены, для финансового обеспечения расходов бюджета поселения, соответствующих целям предоставления указанных иных межбюджетных трансфертов.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Мамадышского муниципального района Республики Татарстан, указанные средства подлежат взысканию в доход бюджета Мамадышского муниципального района Республики Татарстан в порядке, определяемом финансово-бюджетной палатой, с соблюдением общих требований, установленных Министерством финансов Российской Федерации.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Исполкомы поселений и должностные лица в соответствии с законодательством несут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случае нарушения условий предоставления иных межбюджетных трансфертов соответствующие средства подлежат перечислению в доход </w:t>
      </w:r>
      <w:r>
        <w:rPr>
          <w:sz w:val="28"/>
          <w:szCs w:val="28"/>
        </w:rPr>
        <w:lastRenderedPageBreak/>
        <w:t>бюджета Мамадышского муниципального района Республики Татарстан в порядке, установленном бюджетным законодательством Российской Федерации.</w:t>
      </w:r>
    </w:p>
    <w:p w:rsidR="001D72A1" w:rsidRDefault="001D72A1" w:rsidP="001D72A1">
      <w:pPr>
        <w:pStyle w:val="af2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Контроль за целевым использованием иных межбюджетных трансфертов, предоставленных в соответствии с настоящим Порядком, осуществляет Финансово-бюджетная плата.</w:t>
      </w:r>
    </w:p>
    <w:p w:rsidR="00927DA9" w:rsidRDefault="00927DA9" w:rsidP="00927DA9">
      <w:pPr>
        <w:keepNext/>
        <w:ind w:right="282"/>
        <w:jc w:val="both"/>
        <w:outlineLvl w:val="0"/>
        <w:rPr>
          <w:sz w:val="28"/>
        </w:rPr>
      </w:pPr>
    </w:p>
    <w:p w:rsidR="001D72A1" w:rsidRDefault="001D72A1" w:rsidP="00927DA9">
      <w:pPr>
        <w:keepNext/>
        <w:ind w:right="282"/>
        <w:jc w:val="both"/>
        <w:outlineLvl w:val="0"/>
        <w:rPr>
          <w:sz w:val="28"/>
        </w:rPr>
      </w:pPr>
    </w:p>
    <w:p w:rsidR="001D72A1" w:rsidRDefault="001D72A1" w:rsidP="00927DA9">
      <w:pPr>
        <w:keepNext/>
        <w:ind w:right="282"/>
        <w:jc w:val="both"/>
        <w:outlineLvl w:val="0"/>
        <w:rPr>
          <w:sz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03B94" w:rsidRDefault="00903B94" w:rsidP="000C0E2A">
      <w:pPr>
        <w:jc w:val="both"/>
        <w:rPr>
          <w:sz w:val="28"/>
          <w:szCs w:val="28"/>
        </w:rPr>
      </w:pPr>
    </w:p>
    <w:p w:rsidR="00927DA9" w:rsidRDefault="00927DA9" w:rsidP="000C0E2A">
      <w:pPr>
        <w:jc w:val="both"/>
        <w:rPr>
          <w:b/>
          <w:sz w:val="28"/>
          <w:szCs w:val="28"/>
        </w:rPr>
      </w:pPr>
    </w:p>
    <w:sectPr w:rsidR="00927DA9" w:rsidSect="001D72A1">
      <w:pgSz w:w="11906" w:h="16838" w:code="9"/>
      <w:pgMar w:top="1134" w:right="84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55" w:rsidRDefault="00863755">
      <w:r>
        <w:separator/>
      </w:r>
    </w:p>
  </w:endnote>
  <w:endnote w:type="continuationSeparator" w:id="0">
    <w:p w:rsidR="00863755" w:rsidRDefault="0086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55" w:rsidRDefault="00863755">
      <w:r>
        <w:separator/>
      </w:r>
    </w:p>
  </w:footnote>
  <w:footnote w:type="continuationSeparator" w:id="0">
    <w:p w:rsidR="00863755" w:rsidRDefault="0086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875D4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36CA3"/>
    <w:rsid w:val="001773F7"/>
    <w:rsid w:val="0018195A"/>
    <w:rsid w:val="001B41FB"/>
    <w:rsid w:val="001B5F1C"/>
    <w:rsid w:val="001C5938"/>
    <w:rsid w:val="001D6F54"/>
    <w:rsid w:val="001D72A1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3755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D53E7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44BA6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мф рт Знак"/>
    <w:basedOn w:val="a0"/>
    <w:link w:val="af2"/>
    <w:locked/>
    <w:rsid w:val="001D72A1"/>
  </w:style>
  <w:style w:type="paragraph" w:customStyle="1" w:styleId="af2">
    <w:name w:val="мф рт"/>
    <w:basedOn w:val="a"/>
    <w:link w:val="af1"/>
    <w:qFormat/>
    <w:rsid w:val="001D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9D9BFD-3225-4922-AF45-65D63E22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8442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2019-04-18T04:48:00Z</cp:lastPrinted>
  <dcterms:created xsi:type="dcterms:W3CDTF">2019-04-16T13:55:00Z</dcterms:created>
  <dcterms:modified xsi:type="dcterms:W3CDTF">2019-04-18T11:10:00Z</dcterms:modified>
</cp:coreProperties>
</file>