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617C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617C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C0B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520A6" w:rsidRDefault="00E520A6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520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E520A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 xml:space="preserve">28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09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Об утверждении порядка определения цены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земельных участков, находящихся в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муниципальной собственности муниципального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образования Мамадышский муниципальный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район Республики Татарстан и муниципальных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образований (городских и сельских поселений),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входящих в состав Мамадышского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муниципального района Республики Татарстан,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 xml:space="preserve">продажа которых осуществляется без </w:t>
      </w:r>
    </w:p>
    <w:p w:rsidR="00C506F8" w:rsidRDefault="00C506F8" w:rsidP="00C506F8">
      <w:pPr>
        <w:keepNext/>
        <w:outlineLvl w:val="1"/>
        <w:rPr>
          <w:kern w:val="36"/>
          <w:sz w:val="28"/>
        </w:rPr>
      </w:pPr>
      <w:r>
        <w:rPr>
          <w:kern w:val="36"/>
          <w:sz w:val="28"/>
        </w:rPr>
        <w:t>проведения торгов</w:t>
      </w:r>
    </w:p>
    <w:p w:rsidR="00C506F8" w:rsidRDefault="00C506F8" w:rsidP="00C506F8"/>
    <w:p w:rsidR="00C506F8" w:rsidRDefault="00C506F8" w:rsidP="00C506F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В соответствии с подпунктом 2 пункта 2 статьи 39.4 Земельного кодекса Российской Федерации,  с Законом РТ от 26.12.2015  № 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разграничена»,  Законом РТ от 26.12.2015 № 109-ЗРТ «О наделении органов местного самоуправления муниципальных районов Республики Татарстан по распоряжению земельными участками, государственная собственность на которые не разграничена», Положением об Исполнительном</w:t>
      </w:r>
      <w:r w:rsidR="005617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комитет  Мамадышского  муниципального  района Республики Татарстан, Исполнительный комитет Мамадышского муниципального района Республики Татарстан </w:t>
      </w:r>
    </w:p>
    <w:p w:rsidR="00C506F8" w:rsidRDefault="00C506F8" w:rsidP="00C506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 постановляет:</w:t>
      </w:r>
      <w:r>
        <w:rPr>
          <w:rFonts w:eastAsia="Calibri"/>
          <w:sz w:val="28"/>
          <w:szCs w:val="28"/>
        </w:rPr>
        <w:br/>
        <w:t xml:space="preserve">         </w:t>
      </w:r>
      <w:r w:rsidR="005617C4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Утвердить прилагаемый Порядок определения цены земельных участков, находящихся </w:t>
      </w:r>
      <w:r>
        <w:rPr>
          <w:rFonts w:eastAsia="Calibri"/>
          <w:kern w:val="36"/>
          <w:sz w:val="28"/>
          <w:szCs w:val="28"/>
        </w:rPr>
        <w:t xml:space="preserve">в муниципальной собственности муниципального образования Мамадышский муниципальный район Республики Татарстан и муниципальных образований (городских и сельских поселений), входящих в состав Мамадышского муниципального района Республики Татарстан, </w:t>
      </w:r>
      <w:r w:rsidR="00BD3CCA">
        <w:rPr>
          <w:rFonts w:eastAsia="Calibri"/>
          <w:sz w:val="28"/>
          <w:szCs w:val="28"/>
        </w:rPr>
        <w:t xml:space="preserve">продажа которых осуществляется </w:t>
      </w:r>
      <w:r>
        <w:rPr>
          <w:rFonts w:eastAsia="Calibri"/>
          <w:sz w:val="28"/>
          <w:szCs w:val="28"/>
        </w:rPr>
        <w:t>без проведения торгов.</w:t>
      </w:r>
      <w:r>
        <w:rPr>
          <w:rFonts w:eastAsia="Calibri"/>
          <w:sz w:val="28"/>
          <w:szCs w:val="28"/>
        </w:rPr>
        <w:br/>
        <w:t xml:space="preserve">        </w:t>
      </w:r>
      <w:r w:rsidR="005617C4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C506F8" w:rsidRDefault="00C506F8" w:rsidP="00C506F8">
      <w:pPr>
        <w:jc w:val="both"/>
        <w:rPr>
          <w:rFonts w:ascii="Calibri" w:eastAsia="Calibri" w:hAnsi="Calibri"/>
          <w:sz w:val="22"/>
          <w:szCs w:val="22"/>
        </w:rPr>
      </w:pPr>
    </w:p>
    <w:p w:rsidR="00C506F8" w:rsidRDefault="00C506F8" w:rsidP="00C506F8">
      <w:pPr>
        <w:jc w:val="both"/>
        <w:rPr>
          <w:rFonts w:ascii="Calibri" w:eastAsia="Calibri" w:hAnsi="Calibri"/>
        </w:rPr>
      </w:pPr>
    </w:p>
    <w:p w:rsidR="00C506F8" w:rsidRDefault="00C506F8" w:rsidP="00C506F8">
      <w:pPr>
        <w:rPr>
          <w:sz w:val="16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</w:t>
      </w:r>
      <w:r w:rsidR="005617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И.М.Дарземанов</w:t>
      </w:r>
    </w:p>
    <w:p w:rsidR="005617C4" w:rsidRDefault="00C506F8" w:rsidP="00C506F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C506F8" w:rsidRDefault="005617C4" w:rsidP="00C506F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</w:t>
      </w:r>
      <w:r w:rsidR="00C506F8">
        <w:rPr>
          <w:sz w:val="24"/>
          <w:szCs w:val="24"/>
        </w:rPr>
        <w:t xml:space="preserve">   </w:t>
      </w:r>
      <w:r w:rsidR="00E520A6">
        <w:rPr>
          <w:sz w:val="24"/>
          <w:szCs w:val="24"/>
        </w:rPr>
        <w:t xml:space="preserve"> </w:t>
      </w:r>
      <w:r w:rsidR="00C506F8">
        <w:rPr>
          <w:sz w:val="24"/>
          <w:szCs w:val="24"/>
        </w:rPr>
        <w:t xml:space="preserve">    Утвержден</w:t>
      </w:r>
    </w:p>
    <w:p w:rsidR="00C506F8" w:rsidRDefault="00C506F8" w:rsidP="00C506F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постановлением Исполнительного</w:t>
      </w:r>
    </w:p>
    <w:p w:rsidR="00C506F8" w:rsidRDefault="00C506F8" w:rsidP="00C506F8">
      <w:pPr>
        <w:tabs>
          <w:tab w:val="left" w:pos="7088"/>
        </w:tabs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комитета Мамадышского муниципального</w:t>
      </w:r>
    </w:p>
    <w:p w:rsidR="00C506F8" w:rsidRDefault="00C506F8" w:rsidP="00C506F8">
      <w:pPr>
        <w:tabs>
          <w:tab w:val="left" w:pos="5387"/>
        </w:tabs>
        <w:ind w:right="-2"/>
        <w:rPr>
          <w:sz w:val="16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E520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района Республики Татарстан</w:t>
      </w:r>
      <w:r>
        <w:rPr>
          <w:sz w:val="24"/>
          <w:szCs w:val="24"/>
        </w:rPr>
        <w:br/>
        <w:t xml:space="preserve">                                                                              </w:t>
      </w:r>
      <w:r w:rsidR="00E520A6">
        <w:rPr>
          <w:sz w:val="24"/>
          <w:szCs w:val="24"/>
        </w:rPr>
        <w:t xml:space="preserve">                 от </w:t>
      </w:r>
      <w:r w:rsidR="00E520A6">
        <w:rPr>
          <w:sz w:val="24"/>
          <w:szCs w:val="24"/>
          <w:u w:val="single"/>
        </w:rPr>
        <w:t>28.09.2018</w:t>
      </w:r>
      <w:r w:rsidR="00E520A6">
        <w:rPr>
          <w:sz w:val="24"/>
          <w:szCs w:val="24"/>
        </w:rPr>
        <w:t xml:space="preserve"> года N </w:t>
      </w:r>
      <w:r w:rsidR="00E520A6">
        <w:rPr>
          <w:sz w:val="24"/>
          <w:szCs w:val="24"/>
          <w:u w:val="single"/>
        </w:rPr>
        <w:t>520</w:t>
      </w:r>
      <w:bookmarkStart w:id="0" w:name="_GoBack"/>
      <w:bookmarkEnd w:id="0"/>
      <w:r>
        <w:rPr>
          <w:sz w:val="16"/>
        </w:rPr>
        <w:t xml:space="preserve">  </w:t>
      </w:r>
    </w:p>
    <w:p w:rsidR="00C506F8" w:rsidRDefault="00C506F8" w:rsidP="00C506F8">
      <w:pPr>
        <w:ind w:right="-2"/>
        <w:rPr>
          <w:sz w:val="16"/>
        </w:rPr>
      </w:pPr>
    </w:p>
    <w:p w:rsidR="00C506F8" w:rsidRDefault="00C506F8" w:rsidP="00C506F8">
      <w:pPr>
        <w:ind w:right="-2"/>
        <w:rPr>
          <w:sz w:val="16"/>
        </w:rPr>
      </w:pPr>
    </w:p>
    <w:p w:rsidR="00C506F8" w:rsidRDefault="00C506F8" w:rsidP="00C506F8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ОПРЕДЕЛЕНИЯ ЦЕНЫ ЗЕМЕЛЬНЫХ УЧАСТКОВ, НАХОДЯЩИХСЯ В МУНИЦИПАЛЬНОЙ СОБСТВЕННОСТИ МУНИЦИПАЛЬНОГО ОБРАЗОВАНИЯ МАМАДЫШСКИЙ МУНИЦИПАЛЬНЫЙ РАЙОН РЕСПУБЛИКИ ТАТАРСТАН И МУНИЦИПАЛЬНЫХ ОБРАЗОВАНИЙ (ГОРОДСКИХ И СЕЛЬСКИХ ПОСЕЛЕНИЙ), ВХОДЯЩИХ В СОСТАВ МАМАДЫШСКОГО МУНИЦИПАЛЬНОГО РАЙОНА РЕСПУБЛИКИ ТАТАРСТАН, ПРОДАЖА КОТОРЫХ ОСУЩЕСТВЛЯЕТСЯ БЕЗ ПРОВЕДЕНИЯ ТОРГОВ</w:t>
      </w:r>
    </w:p>
    <w:p w:rsidR="00C506F8" w:rsidRDefault="00C506F8" w:rsidP="00BD3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определения цены земельных участков, находящихся </w:t>
      </w:r>
      <w:r>
        <w:rPr>
          <w:kern w:val="36"/>
          <w:sz w:val="28"/>
          <w:szCs w:val="28"/>
        </w:rPr>
        <w:t xml:space="preserve">в муниципальной собственности муниципального образования Мамадышский муниципальный район Республики Татарстан и муниципальных образований (городских и сельских поселений), входящих в состав Мамадышского муниципального района Республики Татарстан, </w:t>
      </w:r>
      <w:r>
        <w:rPr>
          <w:sz w:val="28"/>
          <w:szCs w:val="28"/>
        </w:rPr>
        <w:t>продажа которых осуществляется без проведения торгов в соответствии с подпунктами 1-5, 7, 9 и 10 пункта 2 статьи 39.3 Земельного  кодекса Российской Федерации.</w:t>
      </w:r>
    </w:p>
    <w:p w:rsidR="00C506F8" w:rsidRDefault="00C506F8" w:rsidP="00BD3CCA">
      <w:pPr>
        <w:jc w:val="both"/>
        <w:rPr>
          <w:sz w:val="28"/>
          <w:szCs w:val="28"/>
        </w:rPr>
      </w:pPr>
      <w:r>
        <w:rPr>
          <w:sz w:val="28"/>
          <w:szCs w:val="28"/>
        </w:rPr>
        <w:t>2. По цене, равной рыночной стоимости, но не превышающей кадастровую стоимость земельного у</w:t>
      </w:r>
      <w:r w:rsidR="00BD3CCA">
        <w:rPr>
          <w:sz w:val="28"/>
          <w:szCs w:val="28"/>
        </w:rPr>
        <w:t>частка, осуществляется продажа:</w:t>
      </w:r>
      <w:r>
        <w:rPr>
          <w:sz w:val="28"/>
          <w:szCs w:val="28"/>
        </w:rPr>
        <w:br/>
        <w:t>1)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кодексом Российской Федерации</w:t>
      </w:r>
      <w:r w:rsidR="00BD3CCA">
        <w:rPr>
          <w:sz w:val="28"/>
          <w:szCs w:val="28"/>
        </w:rPr>
        <w:t xml:space="preserve"> заключен договор о комплексном освоении территории;</w:t>
      </w:r>
      <w:r>
        <w:rPr>
          <w:sz w:val="28"/>
          <w:szCs w:val="28"/>
        </w:rPr>
        <w:br/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</w:t>
      </w:r>
      <w:r w:rsidR="00BD3CCA">
        <w:rPr>
          <w:sz w:val="28"/>
          <w:szCs w:val="28"/>
        </w:rPr>
        <w:t>той некоммерческой организации;</w:t>
      </w:r>
      <w:r>
        <w:rPr>
          <w:sz w:val="28"/>
          <w:szCs w:val="28"/>
        </w:rPr>
        <w:br/>
        <w:t>3)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</w:t>
      </w:r>
      <w:r w:rsidR="00BD3CCA">
        <w:rPr>
          <w:sz w:val="28"/>
          <w:szCs w:val="28"/>
        </w:rPr>
        <w:t>той некоммерческой организации;</w:t>
      </w:r>
      <w:r>
        <w:rPr>
          <w:sz w:val="28"/>
          <w:szCs w:val="28"/>
        </w:rPr>
        <w:br/>
        <w:t>4)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5)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</w:t>
      </w:r>
      <w:r w:rsidR="00BD3CCA">
        <w:rPr>
          <w:sz w:val="28"/>
          <w:szCs w:val="28"/>
        </w:rPr>
        <w:t>ора аренды земельного участка;</w:t>
      </w:r>
      <w:r>
        <w:rPr>
          <w:sz w:val="28"/>
          <w:szCs w:val="28"/>
        </w:rPr>
        <w:br/>
        <w:t>6)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</w:t>
      </w:r>
      <w:r w:rsidR="00BD3CCA">
        <w:rPr>
          <w:sz w:val="28"/>
          <w:szCs w:val="28"/>
        </w:rPr>
        <w:t>о кодекса Российской Федерации.</w:t>
      </w:r>
      <w:r>
        <w:rPr>
          <w:sz w:val="28"/>
          <w:szCs w:val="28"/>
        </w:rPr>
        <w:br/>
        <w:t>3. По цене, равной пятнадцати процентам от кадастровой стоимости земельного у</w:t>
      </w:r>
      <w:r w:rsidR="00BD3CCA">
        <w:rPr>
          <w:sz w:val="28"/>
          <w:szCs w:val="28"/>
        </w:rPr>
        <w:t>частка, осуществляется продажа:</w:t>
      </w:r>
      <w:r>
        <w:rPr>
          <w:sz w:val="28"/>
          <w:szCs w:val="28"/>
        </w:rPr>
        <w:br/>
        <w:t>1)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</w:t>
      </w:r>
      <w:r w:rsidR="00BD3CCA">
        <w:rPr>
          <w:sz w:val="28"/>
          <w:szCs w:val="28"/>
        </w:rPr>
        <w:t>той некоммерческой организации;</w:t>
      </w:r>
      <w:r>
        <w:rPr>
          <w:sz w:val="28"/>
          <w:szCs w:val="28"/>
        </w:rPr>
        <w:br/>
        <w:t>2)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</w:p>
    <w:p w:rsidR="00C506F8" w:rsidRDefault="00C506F8" w:rsidP="00BD3CCA">
      <w:pPr>
        <w:rPr>
          <w:sz w:val="28"/>
          <w:szCs w:val="28"/>
        </w:rPr>
      </w:pPr>
      <w:r>
        <w:rPr>
          <w:sz w:val="28"/>
          <w:szCs w:val="28"/>
        </w:rPr>
        <w:t>4. По цене, равной десятикратному размеру ставки земельного налога за единицу площади земельного участка:</w:t>
      </w:r>
    </w:p>
    <w:p w:rsidR="00C506F8" w:rsidRPr="005617C4" w:rsidRDefault="00C506F8" w:rsidP="005617C4">
      <w:pPr>
        <w:pStyle w:val="ab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5617C4">
        <w:rPr>
          <w:sz w:val="28"/>
          <w:szCs w:val="28"/>
        </w:rPr>
        <w:t>земельных участков, отчуждаемых собственникам расположенных на них зданий, строений, сооружений.</w:t>
      </w:r>
    </w:p>
    <w:p w:rsidR="00BD3CCA" w:rsidRDefault="00BD3CCA" w:rsidP="00BD3CCA">
      <w:pPr>
        <w:contextualSpacing/>
        <w:jc w:val="both"/>
        <w:rPr>
          <w:sz w:val="28"/>
          <w:szCs w:val="28"/>
        </w:rPr>
      </w:pPr>
    </w:p>
    <w:p w:rsidR="00BD3CCA" w:rsidRDefault="00BD3CCA" w:rsidP="00BD3CCA">
      <w:pPr>
        <w:contextualSpacing/>
        <w:jc w:val="both"/>
        <w:rPr>
          <w:sz w:val="28"/>
          <w:szCs w:val="28"/>
        </w:rPr>
      </w:pPr>
    </w:p>
    <w:p w:rsidR="00BD3CCA" w:rsidRDefault="005617C4" w:rsidP="00BD3C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Первый за</w:t>
      </w:r>
      <w:r w:rsidR="00BD3CCA">
        <w:rPr>
          <w:sz w:val="28"/>
          <w:szCs w:val="28"/>
        </w:rPr>
        <w:t>меститель</w:t>
      </w:r>
    </w:p>
    <w:p w:rsidR="00BD3CCA" w:rsidRDefault="005617C4" w:rsidP="00BD3C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BD3CCA">
        <w:rPr>
          <w:sz w:val="28"/>
          <w:szCs w:val="28"/>
        </w:rPr>
        <w:t>уководителя</w:t>
      </w:r>
      <w:r>
        <w:rPr>
          <w:sz w:val="28"/>
          <w:szCs w:val="28"/>
        </w:rPr>
        <w:t xml:space="preserve">                                                                                        М.Р.Хузязянов</w:t>
      </w:r>
    </w:p>
    <w:sectPr w:rsidR="00BD3CCA" w:rsidSect="005617C4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A9" w:rsidRDefault="00A526A9">
      <w:r>
        <w:separator/>
      </w:r>
    </w:p>
  </w:endnote>
  <w:endnote w:type="continuationSeparator" w:id="0">
    <w:p w:rsidR="00A526A9" w:rsidRDefault="00A5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A9" w:rsidRDefault="00A526A9">
      <w:r>
        <w:separator/>
      </w:r>
    </w:p>
  </w:footnote>
  <w:footnote w:type="continuationSeparator" w:id="0">
    <w:p w:rsidR="00A526A9" w:rsidRDefault="00A5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57D6B7D"/>
    <w:multiLevelType w:val="hybridMultilevel"/>
    <w:tmpl w:val="D1A42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4445AF"/>
    <w:multiLevelType w:val="hybridMultilevel"/>
    <w:tmpl w:val="C6788A84"/>
    <w:lvl w:ilvl="0" w:tplc="706EA64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617C4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5AB5"/>
    <w:rsid w:val="00A35590"/>
    <w:rsid w:val="00A43554"/>
    <w:rsid w:val="00A526A9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D3CCA"/>
    <w:rsid w:val="00BF431B"/>
    <w:rsid w:val="00C02746"/>
    <w:rsid w:val="00C32166"/>
    <w:rsid w:val="00C433AD"/>
    <w:rsid w:val="00C506F8"/>
    <w:rsid w:val="00C66C16"/>
    <w:rsid w:val="00C673E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20A6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9F19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53F30A-1F00-449A-9109-D2882CC8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7979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2018-09-24T05:58:00Z</cp:lastPrinted>
  <dcterms:created xsi:type="dcterms:W3CDTF">2018-09-24T05:59:00Z</dcterms:created>
  <dcterms:modified xsi:type="dcterms:W3CDTF">2018-09-28T05:37:00Z</dcterms:modified>
</cp:coreProperties>
</file>