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24" w:rsidRPr="000D5585" w:rsidRDefault="006A2524" w:rsidP="00316971">
      <w:pPr>
        <w:pStyle w:val="ConsPlusNormal"/>
        <w:jc w:val="center"/>
        <w:rPr>
          <w:rFonts w:ascii="Times New Roman" w:hAnsi="Times New Roman" w:cs="Times New Roman"/>
          <w:color w:val="000000" w:themeColor="text1"/>
          <w:sz w:val="24"/>
          <w:szCs w:val="24"/>
        </w:rPr>
      </w:pPr>
      <w:bookmarkStart w:id="0" w:name="_GoBack"/>
      <w:bookmarkEnd w:id="0"/>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316971" w:rsidRPr="000D5585" w:rsidRDefault="00316971" w:rsidP="00316971">
      <w:pPr>
        <w:pStyle w:val="ConsPlusNormal"/>
        <w:jc w:val="center"/>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ПАМЯТКА</w:t>
      </w:r>
    </w:p>
    <w:p w:rsidR="006A2524" w:rsidRPr="000D5585" w:rsidRDefault="00316971" w:rsidP="00316971">
      <w:pPr>
        <w:pStyle w:val="ConsPlusNormal"/>
        <w:jc w:val="center"/>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ДЛЯ ПЛАТЕЛЬЩИКОВ СТРАХОВЫХ ВЗНОСОВ</w:t>
      </w:r>
    </w:p>
    <w:p w:rsidR="00316971" w:rsidRPr="000D5585" w:rsidRDefault="00316971" w:rsidP="00316971">
      <w:pPr>
        <w:pStyle w:val="ConsPlusNormal"/>
        <w:jc w:val="center"/>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 xml:space="preserve"> ПО АДМИНИСТРИРОВАНИЮ</w:t>
      </w:r>
    </w:p>
    <w:p w:rsidR="006A2524" w:rsidRPr="000D5585" w:rsidRDefault="00316971" w:rsidP="00316971">
      <w:pPr>
        <w:pStyle w:val="ConsPlusNormal"/>
        <w:jc w:val="center"/>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 xml:space="preserve">НАЛОГОВЫМИ ОРГАНАМИ </w:t>
      </w:r>
    </w:p>
    <w:p w:rsidR="00316971" w:rsidRPr="000D5585" w:rsidRDefault="00316971" w:rsidP="00316971">
      <w:pPr>
        <w:pStyle w:val="ConsPlusNormal"/>
        <w:jc w:val="center"/>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СТРАХОВЫХ ВЗНОСОВ</w:t>
      </w:r>
    </w:p>
    <w:p w:rsidR="00A7676E" w:rsidRPr="000D5585" w:rsidRDefault="00A7676E">
      <w:pP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6A2524" w:rsidRPr="000D5585" w:rsidRDefault="006A2524" w:rsidP="00316971">
      <w:pPr>
        <w:pStyle w:val="ConsPlusNormal"/>
        <w:jc w:val="center"/>
        <w:rPr>
          <w:rFonts w:ascii="Times New Roman" w:hAnsi="Times New Roman" w:cs="Times New Roman"/>
          <w:color w:val="000000" w:themeColor="text1"/>
          <w:sz w:val="24"/>
          <w:szCs w:val="24"/>
        </w:rPr>
      </w:pPr>
    </w:p>
    <w:p w:rsidR="00316971" w:rsidRPr="000D5585" w:rsidRDefault="00316971" w:rsidP="00316971">
      <w:pPr>
        <w:pStyle w:val="ConsPlusNormal"/>
        <w:jc w:val="center"/>
        <w:rPr>
          <w:rFonts w:ascii="Times New Roman" w:hAnsi="Times New Roman" w:cs="Times New Roman"/>
          <w:b/>
          <w:color w:val="000000" w:themeColor="text1"/>
          <w:sz w:val="24"/>
          <w:szCs w:val="24"/>
        </w:rPr>
      </w:pPr>
      <w:r w:rsidRPr="000D5585">
        <w:rPr>
          <w:rFonts w:ascii="Times New Roman" w:hAnsi="Times New Roman" w:cs="Times New Roman"/>
          <w:b/>
          <w:color w:val="000000" w:themeColor="text1"/>
          <w:sz w:val="24"/>
          <w:szCs w:val="24"/>
        </w:rPr>
        <w:lastRenderedPageBreak/>
        <w:t>Уважаемые плательщики страховых взносов!</w:t>
      </w:r>
    </w:p>
    <w:p w:rsidR="00316971" w:rsidRPr="000D5585" w:rsidRDefault="00316971" w:rsidP="00316971">
      <w:pPr>
        <w:pStyle w:val="ConsPlusNormal"/>
        <w:jc w:val="both"/>
        <w:rPr>
          <w:rFonts w:ascii="Times New Roman" w:hAnsi="Times New Roman" w:cs="Times New Roman"/>
          <w:color w:val="000000" w:themeColor="text1"/>
          <w:sz w:val="24"/>
          <w:szCs w:val="24"/>
        </w:rPr>
      </w:pPr>
    </w:p>
    <w:p w:rsidR="00316971" w:rsidRPr="000D5585" w:rsidRDefault="00316971" w:rsidP="004065C9">
      <w:pPr>
        <w:pStyle w:val="ConsPlusNormal"/>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 xml:space="preserve">       С 01.01.2017 уплата взносов  на обязательное пенсионное и медицинское страхование, взносов на случай временной нетрудоспособности и в связи с материнством регулирует </w:t>
      </w:r>
      <w:hyperlink r:id="rId7" w:history="1">
        <w:r w:rsidRPr="000D5585">
          <w:rPr>
            <w:rFonts w:ascii="Times New Roman" w:hAnsi="Times New Roman" w:cs="Times New Roman"/>
            <w:color w:val="000000" w:themeColor="text1"/>
            <w:sz w:val="24"/>
            <w:szCs w:val="24"/>
          </w:rPr>
          <w:t>гл. 34</w:t>
        </w:r>
      </w:hyperlink>
      <w:r w:rsidRPr="000D5585">
        <w:rPr>
          <w:rFonts w:ascii="Times New Roman" w:hAnsi="Times New Roman" w:cs="Times New Roman"/>
          <w:color w:val="000000" w:themeColor="text1"/>
          <w:sz w:val="24"/>
          <w:szCs w:val="24"/>
        </w:rPr>
        <w:t xml:space="preserve"> НК РФ. </w:t>
      </w:r>
    </w:p>
    <w:p w:rsidR="00EF66C4" w:rsidRPr="000D5585" w:rsidRDefault="00316971" w:rsidP="004065C9">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hAnsi="Times New Roman" w:cs="Times New Roman"/>
          <w:color w:val="000000" w:themeColor="text1"/>
          <w:sz w:val="24"/>
          <w:szCs w:val="24"/>
        </w:rPr>
        <w:t xml:space="preserve">  </w:t>
      </w:r>
      <w:r w:rsidR="004065C9" w:rsidRPr="000D5585">
        <w:rPr>
          <w:rFonts w:ascii="Times New Roman" w:hAnsi="Times New Roman" w:cs="Times New Roman"/>
          <w:color w:val="000000" w:themeColor="text1"/>
          <w:sz w:val="24"/>
          <w:szCs w:val="24"/>
        </w:rPr>
        <w:t xml:space="preserve"> </w:t>
      </w:r>
      <w:r w:rsidRPr="000D5585">
        <w:rPr>
          <w:rFonts w:ascii="Times New Roman" w:hAnsi="Times New Roman" w:cs="Times New Roman"/>
          <w:color w:val="000000" w:themeColor="text1"/>
          <w:sz w:val="24"/>
          <w:szCs w:val="24"/>
        </w:rPr>
        <w:t xml:space="preserve"> </w:t>
      </w:r>
      <w:r w:rsidR="006A2524" w:rsidRPr="000D5585">
        <w:rPr>
          <w:rFonts w:ascii="Times New Roman" w:hAnsi="Times New Roman" w:cs="Times New Roman"/>
          <w:color w:val="000000" w:themeColor="text1"/>
          <w:sz w:val="24"/>
          <w:szCs w:val="24"/>
        </w:rPr>
        <w:t xml:space="preserve">  </w:t>
      </w:r>
      <w:r w:rsidRPr="000D5585">
        <w:rPr>
          <w:rFonts w:ascii="Times New Roman" w:hAnsi="Times New Roman" w:cs="Times New Roman"/>
          <w:color w:val="000000" w:themeColor="text1"/>
          <w:sz w:val="24"/>
          <w:szCs w:val="24"/>
        </w:rPr>
        <w:t xml:space="preserve"> </w:t>
      </w:r>
      <w:r w:rsidR="00EF66C4" w:rsidRPr="000D5585">
        <w:rPr>
          <w:rFonts w:ascii="Times New Roman" w:eastAsia="Times New Roman" w:hAnsi="Times New Roman" w:cs="Times New Roman"/>
          <w:color w:val="000000" w:themeColor="text1"/>
          <w:sz w:val="24"/>
          <w:szCs w:val="24"/>
          <w:lang w:eastAsia="ru-RU"/>
        </w:rPr>
        <w:t>В статье 419 НК РФ закреплены две категории плательщиков страховых взносов:</w:t>
      </w:r>
    </w:p>
    <w:p w:rsidR="00EF66C4" w:rsidRPr="000D5585" w:rsidRDefault="004065C9" w:rsidP="004065C9">
      <w:pPr>
        <w:shd w:val="clear" w:color="auto" w:fill="FFFFFF"/>
        <w:spacing w:before="100" w:beforeAutospacing="1" w:after="100" w:afterAutospacing="1" w:line="240" w:lineRule="auto"/>
        <w:ind w:firstLine="284"/>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 </w:t>
      </w:r>
      <w:r w:rsidR="00EF66C4" w:rsidRPr="000D5585">
        <w:rPr>
          <w:rFonts w:ascii="Times New Roman" w:eastAsia="Times New Roman" w:hAnsi="Times New Roman" w:cs="Times New Roman"/>
          <w:color w:val="000000" w:themeColor="text1"/>
          <w:sz w:val="24"/>
          <w:szCs w:val="24"/>
          <w:lang w:eastAsia="ru-RU"/>
        </w:rPr>
        <w:t>плательщики, производящие выплаты и</w:t>
      </w:r>
      <w:r w:rsidRPr="000D5585">
        <w:rPr>
          <w:rFonts w:ascii="Times New Roman" w:eastAsia="Times New Roman" w:hAnsi="Times New Roman" w:cs="Times New Roman"/>
          <w:color w:val="000000" w:themeColor="text1"/>
          <w:sz w:val="24"/>
          <w:szCs w:val="24"/>
          <w:lang w:eastAsia="ru-RU"/>
        </w:rPr>
        <w:t xml:space="preserve"> иные вознаграждения физическим </w:t>
      </w:r>
      <w:r w:rsidR="00EF66C4" w:rsidRPr="000D5585">
        <w:rPr>
          <w:rFonts w:ascii="Times New Roman" w:eastAsia="Times New Roman" w:hAnsi="Times New Roman" w:cs="Times New Roman"/>
          <w:color w:val="000000" w:themeColor="text1"/>
          <w:sz w:val="24"/>
          <w:szCs w:val="24"/>
          <w:lang w:eastAsia="ru-RU"/>
        </w:rPr>
        <w:t>лицам:</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организации</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индивидуальные предприниматели</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физические лица, не являющиеся индивидуальными предпринимателями</w:t>
      </w:r>
      <w:r w:rsidRPr="000D5585">
        <w:rPr>
          <w:rFonts w:ascii="Times New Roman" w:eastAsia="Times New Roman" w:hAnsi="Times New Roman" w:cs="Times New Roman"/>
          <w:color w:val="000000" w:themeColor="text1"/>
          <w:sz w:val="24"/>
          <w:szCs w:val="24"/>
          <w:lang w:eastAsia="ru-RU"/>
        </w:rPr>
        <w:t>.</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proofErr w:type="gramStart"/>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плательщики, не производящие выплаты и иные вознаграждения физическим лицам, а именно индивидуальные предприниматели, адвокаты, нотариусы, занимающиеся частной практикой, арбитражные управляющие, оценщики, патентные поверенные и иные лица, занимающиеся в установленном законодательством Российской Федерации порядке частной практикой.</w:t>
      </w:r>
      <w:proofErr w:type="gramEnd"/>
    </w:p>
    <w:p w:rsidR="00EF66C4" w:rsidRPr="000D5585" w:rsidRDefault="004065C9" w:rsidP="004065C9">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6A2524"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С 1 января 2017 года все плательщики страховых взносов будут учитываться в налоговых органах.</w:t>
      </w:r>
    </w:p>
    <w:p w:rsidR="00EF66C4" w:rsidRPr="000D5585" w:rsidRDefault="004065C9" w:rsidP="004065C9">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6A2524" w:rsidRPr="000D5585">
        <w:rPr>
          <w:rFonts w:ascii="Times New Roman" w:eastAsia="Times New Roman" w:hAnsi="Times New Roman" w:cs="Times New Roman"/>
          <w:color w:val="000000" w:themeColor="text1"/>
          <w:sz w:val="24"/>
          <w:szCs w:val="24"/>
          <w:lang w:eastAsia="ru-RU"/>
        </w:rPr>
        <w:t xml:space="preserve">  </w:t>
      </w: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 xml:space="preserve">При этом процедура постановки на учет (снятия с учета) в налоговых органах организаций и индивидуальных предпринимателей не претерпела значительных изменений. </w:t>
      </w:r>
      <w:proofErr w:type="gramStart"/>
      <w:r w:rsidR="00EF66C4" w:rsidRPr="000D5585">
        <w:rPr>
          <w:rFonts w:ascii="Times New Roman" w:eastAsia="Times New Roman" w:hAnsi="Times New Roman" w:cs="Times New Roman"/>
          <w:color w:val="000000" w:themeColor="text1"/>
          <w:sz w:val="24"/>
          <w:szCs w:val="24"/>
          <w:lang w:eastAsia="ru-RU"/>
        </w:rPr>
        <w:t>Так, постановка на учет в налоговых органах российской организации по месту нахождения организации, месту нахождения ее обособленных подразделений, иностранной некоммерческой неправительственной организации по месту осуществления ею деятельности на территории Российской Федерации через отделение, а также индивидуального предпринимателя по месту его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roofErr w:type="gramEnd"/>
    </w:p>
    <w:p w:rsidR="00EF66C4" w:rsidRPr="000D5585" w:rsidRDefault="004065C9" w:rsidP="004065C9">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6A2524"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Вместе с тем в силу специфики страховых взносов появились некоторые особенности постановки на учет отдельных категорий плательщиков страховых взносов.</w:t>
      </w:r>
    </w:p>
    <w:p w:rsidR="00EF66C4" w:rsidRPr="000D5585" w:rsidRDefault="004065C9" w:rsidP="004065C9">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6A2524" w:rsidRPr="000D5585">
        <w:rPr>
          <w:rFonts w:ascii="Times New Roman" w:eastAsia="Times New Roman" w:hAnsi="Times New Roman" w:cs="Times New Roman"/>
          <w:color w:val="000000" w:themeColor="text1"/>
          <w:sz w:val="24"/>
          <w:szCs w:val="24"/>
          <w:lang w:eastAsia="ru-RU"/>
        </w:rPr>
        <w:t xml:space="preserve">  </w:t>
      </w: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Например, постановка на учет (снятие с учета) в налоговом органе международной организации, признаваемой плательщиком страховых взносов, осуществляется налоговым органом на основании заявления такой международной организации о постановке на учет (снятии с учета) в качестве плательщика страховых взносов.</w:t>
      </w:r>
    </w:p>
    <w:p w:rsidR="00EF66C4" w:rsidRPr="000D5585" w:rsidRDefault="004065C9" w:rsidP="004065C9">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6A2524"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Постановка на учет (снятие с учета) в налоговом органе арбитражного управляющего, оценщика осуществляется налоговым органом по месту их жительства на основании сведений, сообщаемых уполномоченным федеральным органом исполнительной власти, осуществляющим функции по контролю (надзору) за деятельностью саморегулируемых организаций арбитражных управляющих, оценщиков. Постановка на учет (снятие с учета) в налоговом органе патентного поверенного осуществляется налоговым органом по месту его жительства на основании сведений, сообщаемых Федеральной службой по интеллектуальной собственности.</w:t>
      </w:r>
    </w:p>
    <w:p w:rsidR="00EF66C4" w:rsidRPr="000D5585" w:rsidRDefault="004065C9" w:rsidP="004065C9">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6A2524" w:rsidRPr="000D5585">
        <w:rPr>
          <w:rFonts w:ascii="Times New Roman" w:eastAsia="Times New Roman" w:hAnsi="Times New Roman" w:cs="Times New Roman"/>
          <w:color w:val="000000" w:themeColor="text1"/>
          <w:sz w:val="24"/>
          <w:szCs w:val="24"/>
          <w:lang w:eastAsia="ru-RU"/>
        </w:rPr>
        <w:t xml:space="preserve">  </w:t>
      </w:r>
      <w:proofErr w:type="gramStart"/>
      <w:r w:rsidR="00EF66C4" w:rsidRPr="000D5585">
        <w:rPr>
          <w:rFonts w:ascii="Times New Roman" w:eastAsia="Times New Roman" w:hAnsi="Times New Roman" w:cs="Times New Roman"/>
          <w:color w:val="000000" w:themeColor="text1"/>
          <w:sz w:val="24"/>
          <w:szCs w:val="24"/>
          <w:lang w:eastAsia="ru-RU"/>
        </w:rPr>
        <w:t>Постановка на учет (снятие с учета) физического лица в качестве плательщика страховых взносов, в качестве медиатора осуществляется налоговым органом по месту его жительства на основании заявления этого физического лица о постановке на учет (снятии с учета) в качестве плательщика страховых взносов (в качестве медиатора), представляемого в любой налоговый орган по его выбору.</w:t>
      </w:r>
      <w:proofErr w:type="gramEnd"/>
    </w:p>
    <w:p w:rsidR="00EF66C4" w:rsidRPr="000D5585" w:rsidRDefault="004065C9" w:rsidP="004065C9">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6A2524" w:rsidRPr="000D5585">
        <w:rPr>
          <w:rFonts w:ascii="Times New Roman" w:eastAsia="Times New Roman" w:hAnsi="Times New Roman" w:cs="Times New Roman"/>
          <w:color w:val="000000" w:themeColor="text1"/>
          <w:sz w:val="24"/>
          <w:szCs w:val="24"/>
          <w:lang w:eastAsia="ru-RU"/>
        </w:rPr>
        <w:t xml:space="preserve">  </w:t>
      </w: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Пунктом 3.4 </w:t>
      </w:r>
      <w:hyperlink r:id="rId8" w:anchor="block_23" w:tgtFrame="_blank" w:history="1">
        <w:r w:rsidR="00EF66C4" w:rsidRPr="000D5585">
          <w:rPr>
            <w:rFonts w:ascii="Times New Roman" w:eastAsia="Times New Roman" w:hAnsi="Times New Roman" w:cs="Times New Roman"/>
            <w:color w:val="000000" w:themeColor="text1"/>
            <w:sz w:val="24"/>
            <w:szCs w:val="24"/>
            <w:lang w:eastAsia="ru-RU"/>
          </w:rPr>
          <w:t>статьи 23 НК РФ</w:t>
        </w:r>
      </w:hyperlink>
      <w:r w:rsidR="00EF66C4" w:rsidRPr="000D5585">
        <w:rPr>
          <w:rFonts w:ascii="Times New Roman" w:eastAsia="Times New Roman" w:hAnsi="Times New Roman" w:cs="Times New Roman"/>
          <w:color w:val="000000" w:themeColor="text1"/>
          <w:sz w:val="24"/>
          <w:szCs w:val="24"/>
          <w:lang w:eastAsia="ru-RU"/>
        </w:rPr>
        <w:t> отдельно выделены обязанности плательщиков страховых взносов, к которым относятся:</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уплата страховых взносов, установленных НК РФ;</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ведение учета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представление в налоговый орган по месту учета расчетов по страховым взносам;</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lastRenderedPageBreak/>
        <w:t xml:space="preserve">- </w:t>
      </w:r>
      <w:r w:rsidR="00EF66C4" w:rsidRPr="000D5585">
        <w:rPr>
          <w:rFonts w:ascii="Times New Roman" w:eastAsia="Times New Roman" w:hAnsi="Times New Roman" w:cs="Times New Roman"/>
          <w:color w:val="000000" w:themeColor="text1"/>
          <w:sz w:val="24"/>
          <w:szCs w:val="24"/>
          <w:lang w:eastAsia="ru-RU"/>
        </w:rPr>
        <w:t>представление в налоговые органы документов, необходимых для исчисления и уплаты страховых взносов;</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представление в налоговые органы в случаях и порядке, которые предусмотрены НК РФ, сведений о застрахованных лицах в системе индивидуального (персонифицированного) учета;</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обеспечение в течение шести лет сохранности документов, необходимых для исчисления и уплаты страховых взносов;</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сообщение в налоговый орган по месту нахождения российской организации - плательщика страховых взносов о наделении обособленного подразделения полномочиями по начислению выплат и вознаграждений в пользу физических лиц в течение одного месяца со дня наделения его соответствующими полномочиями;</w:t>
      </w:r>
    </w:p>
    <w:p w:rsidR="00EF66C4" w:rsidRPr="000D5585" w:rsidRDefault="004065C9" w:rsidP="004065C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EF66C4" w:rsidRPr="000D5585">
        <w:rPr>
          <w:rFonts w:ascii="Times New Roman" w:eastAsia="Times New Roman" w:hAnsi="Times New Roman" w:cs="Times New Roman"/>
          <w:color w:val="000000" w:themeColor="text1"/>
          <w:sz w:val="24"/>
          <w:szCs w:val="24"/>
          <w:lang w:eastAsia="ru-RU"/>
        </w:rPr>
        <w:t>иные обязанности, предусмотренные законодательством Российской Федерации о налогах и сборах.</w:t>
      </w:r>
    </w:p>
    <w:p w:rsidR="00316971" w:rsidRPr="000D5585" w:rsidRDefault="00CF5B2A" w:rsidP="00CF5B2A">
      <w:pPr>
        <w:jc w:val="center"/>
        <w:rPr>
          <w:rFonts w:ascii="Times New Roman" w:hAnsi="Times New Roman" w:cs="Times New Roman"/>
          <w:color w:val="000000" w:themeColor="text1"/>
          <w:sz w:val="24"/>
          <w:szCs w:val="24"/>
        </w:rPr>
      </w:pPr>
      <w:r w:rsidRPr="000D5585">
        <w:rPr>
          <w:rFonts w:ascii="Times New Roman" w:hAnsi="Times New Roman" w:cs="Times New Roman"/>
          <w:b/>
          <w:color w:val="000000" w:themeColor="text1"/>
          <w:sz w:val="24"/>
          <w:szCs w:val="24"/>
        </w:rPr>
        <w:t>Тарифы страховых взносов</w:t>
      </w:r>
    </w:p>
    <w:p w:rsidR="004065C9" w:rsidRPr="000D5585" w:rsidRDefault="00C13432" w:rsidP="000D5585">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0D5585" w:rsidRPr="000D5585">
        <w:rPr>
          <w:rFonts w:ascii="Times New Roman" w:eastAsia="Times New Roman" w:hAnsi="Times New Roman" w:cs="Times New Roman"/>
          <w:color w:val="000000" w:themeColor="text1"/>
          <w:sz w:val="24"/>
          <w:szCs w:val="24"/>
          <w:lang w:eastAsia="ru-RU"/>
        </w:rPr>
        <w:t xml:space="preserve">   </w:t>
      </w:r>
      <w:proofErr w:type="gramStart"/>
      <w:r w:rsidR="004065C9" w:rsidRPr="000D5585">
        <w:rPr>
          <w:rFonts w:ascii="Times New Roman" w:eastAsia="Times New Roman" w:hAnsi="Times New Roman" w:cs="Times New Roman"/>
          <w:color w:val="000000" w:themeColor="text1"/>
          <w:sz w:val="24"/>
          <w:szCs w:val="24"/>
          <w:lang w:eastAsia="ru-RU"/>
        </w:rPr>
        <w:t xml:space="preserve">Для основной категории плательщиков страховых взносов на период до 2018 года включительно сохранен тариф страховых взносов в размере 30 % (22 % - на обязательное пенсионное страхование в пределах установленной величины базы для исчисления страховых взносов, 2,9 % - на обязательное социальное страхование на случай временной нетрудоспособности и в связи с материнством в пределах </w:t>
      </w:r>
      <w:proofErr w:type="spellStart"/>
      <w:r w:rsidR="004065C9" w:rsidRPr="000D5585">
        <w:rPr>
          <w:rFonts w:ascii="Times New Roman" w:eastAsia="Times New Roman" w:hAnsi="Times New Roman" w:cs="Times New Roman"/>
          <w:color w:val="000000" w:themeColor="text1"/>
          <w:sz w:val="24"/>
          <w:szCs w:val="24"/>
          <w:lang w:eastAsia="ru-RU"/>
        </w:rPr>
        <w:t>взносооблагаемой</w:t>
      </w:r>
      <w:proofErr w:type="spellEnd"/>
      <w:r w:rsidR="004065C9" w:rsidRPr="000D5585">
        <w:rPr>
          <w:rFonts w:ascii="Times New Roman" w:eastAsia="Times New Roman" w:hAnsi="Times New Roman" w:cs="Times New Roman"/>
          <w:color w:val="000000" w:themeColor="text1"/>
          <w:sz w:val="24"/>
          <w:szCs w:val="24"/>
          <w:lang w:eastAsia="ru-RU"/>
        </w:rPr>
        <w:t xml:space="preserve"> базы и 5,1 % на обязательное медицинское страхование).</w:t>
      </w:r>
      <w:proofErr w:type="gramEnd"/>
      <w:r w:rsidR="004065C9" w:rsidRPr="000D5585">
        <w:rPr>
          <w:rFonts w:ascii="Times New Roman" w:eastAsia="Times New Roman" w:hAnsi="Times New Roman" w:cs="Times New Roman"/>
          <w:color w:val="000000" w:themeColor="text1"/>
          <w:sz w:val="24"/>
          <w:szCs w:val="24"/>
          <w:lang w:eastAsia="ru-RU"/>
        </w:rPr>
        <w:t xml:space="preserve"> Кроме того, сверх вышеупомянутой величины базы для исчисления страховых взносов уплачиваются страховые взносы в ПФР исходя из тарифа 10 %.</w:t>
      </w:r>
    </w:p>
    <w:p w:rsidR="00CF5B2A" w:rsidRPr="000D5585" w:rsidRDefault="00CF5B2A" w:rsidP="000D5585">
      <w:pPr>
        <w:widowControl w:val="0"/>
        <w:autoSpaceDE w:val="0"/>
        <w:autoSpaceDN w:val="0"/>
        <w:spacing w:after="0" w:line="240" w:lineRule="auto"/>
        <w:jc w:val="center"/>
        <w:outlineLvl w:val="0"/>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b/>
          <w:color w:val="000000" w:themeColor="text1"/>
          <w:szCs w:val="20"/>
          <w:lang w:eastAsia="ru-RU"/>
        </w:rPr>
        <w:t>Тарифы страховых взносов по ОПС, ОСС, ОМС</w:t>
      </w:r>
      <w:r w:rsidR="000D5585">
        <w:rPr>
          <w:rFonts w:ascii="Times New Roman" w:eastAsia="Times New Roman" w:hAnsi="Times New Roman" w:cs="Times New Roman"/>
          <w:b/>
          <w:color w:val="000000" w:themeColor="text1"/>
          <w:szCs w:val="20"/>
          <w:lang w:eastAsia="ru-RU"/>
        </w:rPr>
        <w:t xml:space="preserve"> д</w:t>
      </w:r>
      <w:r w:rsidRPr="000D5585">
        <w:rPr>
          <w:rFonts w:ascii="Times New Roman" w:eastAsia="Times New Roman" w:hAnsi="Times New Roman" w:cs="Times New Roman"/>
          <w:b/>
          <w:color w:val="000000" w:themeColor="text1"/>
          <w:szCs w:val="20"/>
          <w:lang w:eastAsia="ru-RU"/>
        </w:rPr>
        <w:t>ля</w:t>
      </w:r>
      <w:r w:rsidR="000D5585" w:rsidRPr="000D5585">
        <w:rPr>
          <w:rFonts w:ascii="Times New Roman" w:eastAsia="Times New Roman" w:hAnsi="Times New Roman" w:cs="Times New Roman"/>
          <w:b/>
          <w:color w:val="000000" w:themeColor="text1"/>
          <w:szCs w:val="20"/>
          <w:lang w:eastAsia="ru-RU"/>
        </w:rPr>
        <w:t xml:space="preserve">  </w:t>
      </w:r>
      <w:r w:rsidR="000D5585">
        <w:rPr>
          <w:rFonts w:ascii="Times New Roman" w:eastAsia="Times New Roman" w:hAnsi="Times New Roman" w:cs="Times New Roman"/>
          <w:b/>
          <w:color w:val="000000" w:themeColor="text1"/>
          <w:szCs w:val="20"/>
          <w:lang w:eastAsia="ru-RU"/>
        </w:rPr>
        <w:t>основной категории</w:t>
      </w:r>
      <w:r w:rsidRPr="000D5585">
        <w:rPr>
          <w:rFonts w:ascii="Times New Roman" w:eastAsia="Times New Roman" w:hAnsi="Times New Roman" w:cs="Times New Roman"/>
          <w:b/>
          <w:color w:val="000000" w:themeColor="text1"/>
          <w:szCs w:val="20"/>
          <w:lang w:eastAsia="ru-RU"/>
        </w:rPr>
        <w:t xml:space="preserve"> плательщиков, производящих выплаты физическим лицам на 2017 год</w:t>
      </w:r>
    </w:p>
    <w:p w:rsidR="00CF5B2A" w:rsidRPr="000D5585" w:rsidRDefault="00CF5B2A" w:rsidP="00CF5B2A">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480"/>
        <w:gridCol w:w="1418"/>
        <w:gridCol w:w="2126"/>
        <w:gridCol w:w="1418"/>
      </w:tblGrid>
      <w:tr w:rsidR="000D5585" w:rsidRPr="000D5585" w:rsidTr="000D5585">
        <w:tc>
          <w:tcPr>
            <w:tcW w:w="2551" w:type="dxa"/>
            <w:vMerge w:val="restart"/>
          </w:tcPr>
          <w:p w:rsidR="00CF5B2A" w:rsidRPr="000D5585" w:rsidRDefault="0051601F"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hyperlink r:id="rId9" w:history="1">
              <w:r w:rsidR="00CF5B2A" w:rsidRPr="000D5585">
                <w:rPr>
                  <w:rFonts w:ascii="Times New Roman" w:eastAsia="Times New Roman" w:hAnsi="Times New Roman" w:cs="Times New Roman"/>
                  <w:color w:val="000000" w:themeColor="text1"/>
                  <w:szCs w:val="20"/>
                  <w:lang w:eastAsia="ru-RU"/>
                </w:rPr>
                <w:t>База</w:t>
              </w:r>
            </w:hyperlink>
            <w:r w:rsidR="00CF5B2A" w:rsidRPr="000D5585">
              <w:rPr>
                <w:rFonts w:ascii="Times New Roman" w:eastAsia="Times New Roman" w:hAnsi="Times New Roman" w:cs="Times New Roman"/>
                <w:color w:val="000000" w:themeColor="text1"/>
                <w:szCs w:val="20"/>
                <w:lang w:eastAsia="ru-RU"/>
              </w:rPr>
              <w:t xml:space="preserve"> для исчисления страховых взносов</w:t>
            </w:r>
          </w:p>
        </w:tc>
        <w:tc>
          <w:tcPr>
            <w:tcW w:w="1480" w:type="dxa"/>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Обязательное пенсионное страхование (ОПС)</w:t>
            </w:r>
          </w:p>
        </w:tc>
        <w:tc>
          <w:tcPr>
            <w:tcW w:w="3544" w:type="dxa"/>
            <w:gridSpan w:val="2"/>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Обязательное социальное страхование на случай временной нетрудоспособности и в связи с материнством</w:t>
            </w: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(ОСС)</w:t>
            </w:r>
          </w:p>
        </w:tc>
        <w:tc>
          <w:tcPr>
            <w:tcW w:w="1418" w:type="dxa"/>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Обязательное медицинское страхование (ОМС)</w:t>
            </w:r>
          </w:p>
        </w:tc>
      </w:tr>
      <w:tr w:rsidR="000D5585" w:rsidRPr="000D5585" w:rsidTr="000D5585">
        <w:tc>
          <w:tcPr>
            <w:tcW w:w="2551" w:type="dxa"/>
            <w:vMerge/>
          </w:tcPr>
          <w:p w:rsidR="00CF5B2A" w:rsidRPr="000D5585" w:rsidRDefault="00CF5B2A" w:rsidP="00CF5B2A">
            <w:pPr>
              <w:rPr>
                <w:rFonts w:ascii="Times New Roman" w:hAnsi="Times New Roman" w:cs="Times New Roman"/>
                <w:color w:val="000000" w:themeColor="text1"/>
              </w:rPr>
            </w:pPr>
          </w:p>
        </w:tc>
        <w:tc>
          <w:tcPr>
            <w:tcW w:w="1480" w:type="dxa"/>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в отношении выплат и иных вознаграждений</w:t>
            </w: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в пользу физических лиц</w:t>
            </w:r>
          </w:p>
        </w:tc>
        <w:tc>
          <w:tcPr>
            <w:tcW w:w="1418" w:type="dxa"/>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в отношении выплат и иных вознаграждений</w:t>
            </w: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в пользу граждан РФ</w:t>
            </w:r>
          </w:p>
        </w:tc>
        <w:tc>
          <w:tcPr>
            <w:tcW w:w="2126" w:type="dxa"/>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в отношении выплат и иных вознаграждений</w:t>
            </w: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 xml:space="preserve">в пользу </w:t>
            </w:r>
            <w:hyperlink w:anchor="P40" w:history="1">
              <w:r w:rsidRPr="000D5585">
                <w:rPr>
                  <w:rFonts w:ascii="Times New Roman" w:eastAsia="Times New Roman" w:hAnsi="Times New Roman" w:cs="Times New Roman"/>
                  <w:color w:val="000000" w:themeColor="text1"/>
                  <w:szCs w:val="20"/>
                  <w:lang w:eastAsia="ru-RU"/>
                </w:rPr>
                <w:t>&lt;*&gt;</w:t>
              </w:r>
            </w:hyperlink>
            <w:r w:rsidRPr="000D5585">
              <w:rPr>
                <w:rFonts w:ascii="Times New Roman" w:eastAsia="Times New Roman" w:hAnsi="Times New Roman" w:cs="Times New Roman"/>
                <w:color w:val="000000" w:themeColor="text1"/>
                <w:szCs w:val="20"/>
                <w:lang w:eastAsia="ru-RU"/>
              </w:rPr>
              <w:t>:</w:t>
            </w:r>
          </w:p>
          <w:p w:rsidR="00CF5B2A" w:rsidRPr="000D5585" w:rsidRDefault="00CF5B2A" w:rsidP="00CF5B2A">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 иностранных граждан;</w:t>
            </w:r>
          </w:p>
          <w:p w:rsidR="00CF5B2A" w:rsidRPr="000D5585" w:rsidRDefault="00CF5B2A" w:rsidP="00CF5B2A">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 лиц без гражданства, временно пребывающих в РФ</w:t>
            </w:r>
          </w:p>
        </w:tc>
        <w:tc>
          <w:tcPr>
            <w:tcW w:w="1418" w:type="dxa"/>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в отношении выплат и иных вознаграждений</w:t>
            </w: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в пользу физических лиц</w:t>
            </w:r>
          </w:p>
        </w:tc>
      </w:tr>
      <w:tr w:rsidR="000D5585" w:rsidRPr="000D5585" w:rsidTr="000D5585">
        <w:tc>
          <w:tcPr>
            <w:tcW w:w="2551" w:type="dxa"/>
          </w:tcPr>
          <w:p w:rsidR="00CF5B2A" w:rsidRPr="000D5585" w:rsidRDefault="00CF5B2A" w:rsidP="00CF5B2A">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0D5585">
              <w:rPr>
                <w:rFonts w:ascii="Times New Roman" w:eastAsia="Times New Roman" w:hAnsi="Times New Roman" w:cs="Times New Roman"/>
                <w:color w:val="000000" w:themeColor="text1"/>
                <w:sz w:val="20"/>
                <w:szCs w:val="20"/>
                <w:lang w:eastAsia="ru-RU"/>
              </w:rPr>
              <w:t>С суммы выплат в пределах установленной предельной величины базы для исчисления страховых взносов:</w:t>
            </w:r>
          </w:p>
          <w:p w:rsidR="00CF5B2A" w:rsidRPr="000D5585" w:rsidRDefault="00CF5B2A" w:rsidP="00CF5B2A">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0D5585">
              <w:rPr>
                <w:rFonts w:ascii="Times New Roman" w:eastAsia="Times New Roman" w:hAnsi="Times New Roman" w:cs="Times New Roman"/>
                <w:color w:val="000000" w:themeColor="text1"/>
                <w:sz w:val="20"/>
                <w:szCs w:val="20"/>
                <w:lang w:eastAsia="ru-RU"/>
              </w:rPr>
              <w:t xml:space="preserve">на ОПС - </w:t>
            </w:r>
            <w:hyperlink r:id="rId10" w:history="1">
              <w:r w:rsidRPr="000D5585">
                <w:rPr>
                  <w:rFonts w:ascii="Times New Roman" w:eastAsia="Times New Roman" w:hAnsi="Times New Roman" w:cs="Times New Roman"/>
                  <w:color w:val="000000" w:themeColor="text1"/>
                  <w:sz w:val="20"/>
                  <w:szCs w:val="20"/>
                  <w:lang w:eastAsia="ru-RU"/>
                </w:rPr>
                <w:t>876000</w:t>
              </w:r>
            </w:hyperlink>
            <w:r w:rsidRPr="000D5585">
              <w:rPr>
                <w:rFonts w:ascii="Times New Roman" w:eastAsia="Times New Roman" w:hAnsi="Times New Roman" w:cs="Times New Roman"/>
                <w:color w:val="000000" w:themeColor="text1"/>
                <w:sz w:val="20"/>
                <w:szCs w:val="20"/>
                <w:lang w:eastAsia="ru-RU"/>
              </w:rPr>
              <w:t xml:space="preserve"> руб.;</w:t>
            </w:r>
          </w:p>
          <w:p w:rsidR="00CF5B2A" w:rsidRPr="000D5585" w:rsidRDefault="00CF5B2A" w:rsidP="00CF5B2A">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0D5585">
              <w:rPr>
                <w:rFonts w:ascii="Times New Roman" w:eastAsia="Times New Roman" w:hAnsi="Times New Roman" w:cs="Times New Roman"/>
                <w:color w:val="000000" w:themeColor="text1"/>
                <w:sz w:val="20"/>
                <w:szCs w:val="20"/>
                <w:lang w:eastAsia="ru-RU"/>
              </w:rPr>
              <w:t xml:space="preserve">на ОСС - </w:t>
            </w:r>
            <w:hyperlink r:id="rId11" w:history="1">
              <w:r w:rsidRPr="000D5585">
                <w:rPr>
                  <w:rFonts w:ascii="Times New Roman" w:eastAsia="Times New Roman" w:hAnsi="Times New Roman" w:cs="Times New Roman"/>
                  <w:color w:val="000000" w:themeColor="text1"/>
                  <w:sz w:val="20"/>
                  <w:szCs w:val="20"/>
                  <w:lang w:eastAsia="ru-RU"/>
                </w:rPr>
                <w:t>755000</w:t>
              </w:r>
            </w:hyperlink>
            <w:r w:rsidRPr="000D5585">
              <w:rPr>
                <w:rFonts w:ascii="Times New Roman" w:eastAsia="Times New Roman" w:hAnsi="Times New Roman" w:cs="Times New Roman"/>
                <w:color w:val="000000" w:themeColor="text1"/>
                <w:sz w:val="20"/>
                <w:szCs w:val="20"/>
                <w:lang w:eastAsia="ru-RU"/>
              </w:rPr>
              <w:t xml:space="preserve"> руб.</w:t>
            </w:r>
          </w:p>
        </w:tc>
        <w:tc>
          <w:tcPr>
            <w:tcW w:w="1480" w:type="dxa"/>
          </w:tcPr>
          <w:p w:rsidR="00CF5B2A" w:rsidRPr="000D5585" w:rsidRDefault="0051601F"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hyperlink r:id="rId12" w:history="1">
              <w:r w:rsidR="00CF5B2A" w:rsidRPr="000D5585">
                <w:rPr>
                  <w:rFonts w:ascii="Times New Roman" w:eastAsia="Times New Roman" w:hAnsi="Times New Roman" w:cs="Times New Roman"/>
                  <w:color w:val="000000" w:themeColor="text1"/>
                  <w:szCs w:val="20"/>
                  <w:lang w:eastAsia="ru-RU"/>
                </w:rPr>
                <w:t>22,0%</w:t>
              </w:r>
            </w:hyperlink>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w:t>
            </w:r>
            <w:proofErr w:type="spellStart"/>
            <w:r w:rsidRPr="000D5585">
              <w:rPr>
                <w:rFonts w:ascii="Times New Roman" w:eastAsia="Times New Roman" w:hAnsi="Times New Roman" w:cs="Times New Roman"/>
                <w:color w:val="000000" w:themeColor="text1"/>
                <w:szCs w:val="20"/>
                <w:lang w:eastAsia="ru-RU"/>
              </w:rPr>
              <w:t>max</w:t>
            </w:r>
            <w:proofErr w:type="spellEnd"/>
            <w:r w:rsidRPr="000D5585">
              <w:rPr>
                <w:rFonts w:ascii="Times New Roman" w:eastAsia="Times New Roman" w:hAnsi="Times New Roman" w:cs="Times New Roman"/>
                <w:color w:val="000000" w:themeColor="text1"/>
                <w:szCs w:val="20"/>
                <w:lang w:eastAsia="ru-RU"/>
              </w:rPr>
              <w:t xml:space="preserve"> 192720 руб.)</w:t>
            </w:r>
          </w:p>
        </w:tc>
        <w:tc>
          <w:tcPr>
            <w:tcW w:w="1418" w:type="dxa"/>
          </w:tcPr>
          <w:p w:rsidR="00CF5B2A" w:rsidRPr="000D5585" w:rsidRDefault="0051601F"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hyperlink r:id="rId13" w:history="1">
              <w:r w:rsidR="00CF5B2A" w:rsidRPr="000D5585">
                <w:rPr>
                  <w:rFonts w:ascii="Times New Roman" w:eastAsia="Times New Roman" w:hAnsi="Times New Roman" w:cs="Times New Roman"/>
                  <w:color w:val="000000" w:themeColor="text1"/>
                  <w:szCs w:val="20"/>
                  <w:lang w:eastAsia="ru-RU"/>
                </w:rPr>
                <w:t>2,9%</w:t>
              </w:r>
            </w:hyperlink>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w:t>
            </w:r>
            <w:proofErr w:type="spellStart"/>
            <w:r w:rsidRPr="000D5585">
              <w:rPr>
                <w:rFonts w:ascii="Times New Roman" w:eastAsia="Times New Roman" w:hAnsi="Times New Roman" w:cs="Times New Roman"/>
                <w:color w:val="000000" w:themeColor="text1"/>
                <w:szCs w:val="20"/>
                <w:lang w:eastAsia="ru-RU"/>
              </w:rPr>
              <w:t>max</w:t>
            </w:r>
            <w:proofErr w:type="spellEnd"/>
            <w:r w:rsidRPr="000D5585">
              <w:rPr>
                <w:rFonts w:ascii="Times New Roman" w:eastAsia="Times New Roman" w:hAnsi="Times New Roman" w:cs="Times New Roman"/>
                <w:color w:val="000000" w:themeColor="text1"/>
                <w:szCs w:val="20"/>
                <w:lang w:eastAsia="ru-RU"/>
              </w:rPr>
              <w:t xml:space="preserve"> 21895 руб.)</w:t>
            </w:r>
          </w:p>
        </w:tc>
        <w:tc>
          <w:tcPr>
            <w:tcW w:w="2126" w:type="dxa"/>
          </w:tcPr>
          <w:p w:rsidR="00CF5B2A" w:rsidRPr="000D5585" w:rsidRDefault="0051601F"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hyperlink r:id="rId14" w:history="1">
              <w:r w:rsidR="00CF5B2A" w:rsidRPr="000D5585">
                <w:rPr>
                  <w:rFonts w:ascii="Times New Roman" w:eastAsia="Times New Roman" w:hAnsi="Times New Roman" w:cs="Times New Roman"/>
                  <w:color w:val="000000" w:themeColor="text1"/>
                  <w:szCs w:val="20"/>
                  <w:lang w:eastAsia="ru-RU"/>
                </w:rPr>
                <w:t>1,8%</w:t>
              </w:r>
            </w:hyperlink>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color w:val="000000" w:themeColor="text1"/>
                <w:szCs w:val="20"/>
                <w:lang w:eastAsia="ru-RU"/>
              </w:rPr>
              <w:t>(</w:t>
            </w:r>
            <w:proofErr w:type="spellStart"/>
            <w:r w:rsidRPr="000D5585">
              <w:rPr>
                <w:rFonts w:ascii="Times New Roman" w:eastAsia="Times New Roman" w:hAnsi="Times New Roman" w:cs="Times New Roman"/>
                <w:color w:val="000000" w:themeColor="text1"/>
                <w:szCs w:val="20"/>
                <w:lang w:eastAsia="ru-RU"/>
              </w:rPr>
              <w:t>max</w:t>
            </w:r>
            <w:proofErr w:type="spellEnd"/>
            <w:r w:rsidRPr="000D5585">
              <w:rPr>
                <w:rFonts w:ascii="Times New Roman" w:eastAsia="Times New Roman" w:hAnsi="Times New Roman" w:cs="Times New Roman"/>
                <w:color w:val="000000" w:themeColor="text1"/>
                <w:szCs w:val="20"/>
                <w:lang w:eastAsia="ru-RU"/>
              </w:rPr>
              <w:t xml:space="preserve"> 13590 руб.)</w:t>
            </w:r>
          </w:p>
        </w:tc>
        <w:tc>
          <w:tcPr>
            <w:tcW w:w="1418" w:type="dxa"/>
            <w:vMerge w:val="restart"/>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p w:rsidR="00CF5B2A" w:rsidRPr="000D5585" w:rsidRDefault="0051601F"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hyperlink r:id="rId15" w:history="1">
              <w:r w:rsidR="00CF5B2A" w:rsidRPr="000D5585">
                <w:rPr>
                  <w:rFonts w:ascii="Times New Roman" w:eastAsia="Times New Roman" w:hAnsi="Times New Roman" w:cs="Times New Roman"/>
                  <w:color w:val="000000" w:themeColor="text1"/>
                  <w:szCs w:val="20"/>
                  <w:lang w:eastAsia="ru-RU"/>
                </w:rPr>
                <w:t>5,1%</w:t>
              </w:r>
            </w:hyperlink>
            <w:r w:rsidR="00CF5B2A" w:rsidRPr="000D5585">
              <w:rPr>
                <w:rFonts w:ascii="Times New Roman" w:eastAsia="Times New Roman" w:hAnsi="Times New Roman" w:cs="Times New Roman"/>
                <w:color w:val="000000" w:themeColor="text1"/>
                <w:szCs w:val="20"/>
                <w:lang w:eastAsia="ru-RU"/>
              </w:rPr>
              <w:t xml:space="preserve"> </w:t>
            </w:r>
          </w:p>
        </w:tc>
      </w:tr>
      <w:tr w:rsidR="000D5585" w:rsidRPr="000D5585" w:rsidTr="000D5585">
        <w:tc>
          <w:tcPr>
            <w:tcW w:w="2551" w:type="dxa"/>
          </w:tcPr>
          <w:p w:rsidR="00CF5B2A" w:rsidRPr="000D5585" w:rsidRDefault="00CF5B2A" w:rsidP="00CF5B2A">
            <w:pPr>
              <w:widowControl w:val="0"/>
              <w:autoSpaceDE w:val="0"/>
              <w:autoSpaceDN w:val="0"/>
              <w:spacing w:after="0" w:line="240" w:lineRule="auto"/>
              <w:contextualSpacing/>
              <w:rPr>
                <w:rFonts w:ascii="Times New Roman" w:eastAsia="Times New Roman" w:hAnsi="Times New Roman" w:cs="Times New Roman"/>
                <w:color w:val="000000" w:themeColor="text1"/>
                <w:sz w:val="20"/>
                <w:szCs w:val="20"/>
                <w:lang w:eastAsia="ru-RU"/>
              </w:rPr>
            </w:pPr>
            <w:r w:rsidRPr="000D5585">
              <w:rPr>
                <w:rFonts w:ascii="Times New Roman" w:eastAsia="Times New Roman" w:hAnsi="Times New Roman" w:cs="Times New Roman"/>
                <w:color w:val="000000" w:themeColor="text1"/>
                <w:sz w:val="20"/>
                <w:szCs w:val="20"/>
                <w:lang w:eastAsia="ru-RU"/>
              </w:rPr>
              <w:t xml:space="preserve">С суммы выплат свыше установленной предельной </w:t>
            </w:r>
            <w:hyperlink r:id="rId16" w:history="1">
              <w:r w:rsidRPr="000D5585">
                <w:rPr>
                  <w:rFonts w:ascii="Times New Roman" w:eastAsia="Times New Roman" w:hAnsi="Times New Roman" w:cs="Times New Roman"/>
                  <w:color w:val="000000" w:themeColor="text1"/>
                  <w:sz w:val="20"/>
                  <w:szCs w:val="20"/>
                  <w:lang w:eastAsia="ru-RU"/>
                </w:rPr>
                <w:t>величины</w:t>
              </w:r>
            </w:hyperlink>
            <w:r w:rsidRPr="000D5585">
              <w:rPr>
                <w:rFonts w:ascii="Times New Roman" w:eastAsia="Times New Roman" w:hAnsi="Times New Roman" w:cs="Times New Roman"/>
                <w:color w:val="000000" w:themeColor="text1"/>
                <w:sz w:val="20"/>
                <w:szCs w:val="20"/>
                <w:lang w:eastAsia="ru-RU"/>
              </w:rPr>
              <w:t xml:space="preserve"> базы для исчисления страховых взносов на ОПС</w:t>
            </w:r>
          </w:p>
        </w:tc>
        <w:tc>
          <w:tcPr>
            <w:tcW w:w="1480" w:type="dxa"/>
          </w:tcPr>
          <w:p w:rsidR="00CF5B2A" w:rsidRPr="000D5585" w:rsidRDefault="0051601F"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hyperlink r:id="rId17" w:history="1">
              <w:r w:rsidR="00CF5B2A" w:rsidRPr="000D5585">
                <w:rPr>
                  <w:rFonts w:ascii="Times New Roman" w:eastAsia="Times New Roman" w:hAnsi="Times New Roman" w:cs="Times New Roman"/>
                  <w:color w:val="000000" w:themeColor="text1"/>
                  <w:szCs w:val="20"/>
                  <w:lang w:eastAsia="ru-RU"/>
                </w:rPr>
                <w:t>10,0%</w:t>
              </w:r>
            </w:hyperlink>
          </w:p>
        </w:tc>
        <w:tc>
          <w:tcPr>
            <w:tcW w:w="1418" w:type="dxa"/>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b/>
                <w:color w:val="000000" w:themeColor="text1"/>
                <w:szCs w:val="20"/>
                <w:lang w:eastAsia="ru-RU"/>
              </w:rPr>
              <w:t>_</w:t>
            </w:r>
          </w:p>
        </w:tc>
        <w:tc>
          <w:tcPr>
            <w:tcW w:w="2126" w:type="dxa"/>
          </w:tcPr>
          <w:p w:rsidR="00CF5B2A" w:rsidRPr="000D5585" w:rsidRDefault="00CF5B2A" w:rsidP="00CF5B2A">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0D5585">
              <w:rPr>
                <w:rFonts w:ascii="Times New Roman" w:eastAsia="Times New Roman" w:hAnsi="Times New Roman" w:cs="Times New Roman"/>
                <w:b/>
                <w:color w:val="000000" w:themeColor="text1"/>
                <w:szCs w:val="20"/>
                <w:lang w:eastAsia="ru-RU"/>
              </w:rPr>
              <w:t>_</w:t>
            </w:r>
          </w:p>
        </w:tc>
        <w:tc>
          <w:tcPr>
            <w:tcW w:w="1418" w:type="dxa"/>
            <w:vMerge/>
          </w:tcPr>
          <w:p w:rsidR="00CF5B2A" w:rsidRPr="000D5585" w:rsidRDefault="00CF5B2A" w:rsidP="00CF5B2A">
            <w:pPr>
              <w:rPr>
                <w:rFonts w:ascii="Times New Roman" w:hAnsi="Times New Roman" w:cs="Times New Roman"/>
                <w:color w:val="000000" w:themeColor="text1"/>
              </w:rPr>
            </w:pPr>
          </w:p>
        </w:tc>
      </w:tr>
    </w:tbl>
    <w:p w:rsidR="00D170F1" w:rsidRPr="000D5585" w:rsidRDefault="00D170F1" w:rsidP="000D5585">
      <w:pPr>
        <w:shd w:val="clear" w:color="auto" w:fill="FFFFFF"/>
        <w:tabs>
          <w:tab w:val="num" w:pos="426"/>
        </w:tabs>
        <w:spacing w:before="195" w:after="195" w:line="240" w:lineRule="auto"/>
        <w:ind w:left="360"/>
        <w:contextualSpacing/>
        <w:jc w:val="center"/>
        <w:rPr>
          <w:rFonts w:ascii="Times New Roman" w:eastAsia="Times New Roman" w:hAnsi="Times New Roman" w:cs="Times New Roman"/>
          <w:b/>
          <w:color w:val="000000" w:themeColor="text1"/>
          <w:sz w:val="21"/>
          <w:szCs w:val="21"/>
          <w:lang w:eastAsia="ru-RU"/>
        </w:rPr>
      </w:pPr>
      <w:bookmarkStart w:id="1" w:name="P40"/>
      <w:bookmarkEnd w:id="1"/>
      <w:r w:rsidRPr="000D5585">
        <w:rPr>
          <w:rFonts w:ascii="Times New Roman" w:eastAsia="Times New Roman" w:hAnsi="Times New Roman" w:cs="Times New Roman"/>
          <w:b/>
          <w:color w:val="000000" w:themeColor="text1"/>
          <w:sz w:val="21"/>
          <w:szCs w:val="21"/>
          <w:lang w:eastAsia="ru-RU"/>
        </w:rPr>
        <w:lastRenderedPageBreak/>
        <w:t>Порядок   исчисления  и  уплаты  страховых  взносов</w:t>
      </w:r>
    </w:p>
    <w:p w:rsidR="00CB469F" w:rsidRPr="000D5585" w:rsidRDefault="00750BC6" w:rsidP="000D5585">
      <w:pPr>
        <w:shd w:val="clear" w:color="auto" w:fill="FFFFFF"/>
        <w:tabs>
          <w:tab w:val="num" w:pos="0"/>
          <w:tab w:val="left" w:pos="142"/>
        </w:tabs>
        <w:spacing w:before="195" w:after="195" w:line="240" w:lineRule="auto"/>
        <w:ind w:firstLine="425"/>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r w:rsidR="00CB469F" w:rsidRPr="000D5585">
        <w:rPr>
          <w:rFonts w:ascii="Times New Roman" w:eastAsia="Times New Roman" w:hAnsi="Times New Roman" w:cs="Times New Roman"/>
          <w:color w:val="000000" w:themeColor="text1"/>
          <w:sz w:val="24"/>
          <w:szCs w:val="24"/>
          <w:lang w:eastAsia="ru-RU"/>
        </w:rPr>
        <w:t>Для плательщиков-работодателей порядок исчисления и уплаты страховых взносов практически не изменился.</w:t>
      </w:r>
      <w:r w:rsidRPr="000D5585">
        <w:rPr>
          <w:rFonts w:ascii="Times New Roman" w:eastAsia="Times New Roman" w:hAnsi="Times New Roman" w:cs="Times New Roman"/>
          <w:color w:val="000000" w:themeColor="text1"/>
          <w:sz w:val="24"/>
          <w:szCs w:val="24"/>
          <w:lang w:eastAsia="ru-RU"/>
        </w:rPr>
        <w:t xml:space="preserve"> </w:t>
      </w:r>
      <w:r w:rsidR="00CB469F" w:rsidRPr="000D5585">
        <w:rPr>
          <w:rFonts w:ascii="Times New Roman" w:eastAsia="Times New Roman" w:hAnsi="Times New Roman" w:cs="Times New Roman"/>
          <w:color w:val="000000" w:themeColor="text1"/>
          <w:sz w:val="24"/>
          <w:szCs w:val="24"/>
          <w:lang w:eastAsia="ru-RU"/>
        </w:rPr>
        <w:t>Они также ежемесячно должны производить исчисление и уплату страховых взносов. Срок уплаты страховых взносов остался прежним: не позднее 15-го следующего календарного месяца, в котором произведены выплаты в пользу физических лиц.</w:t>
      </w:r>
      <w:r w:rsidRPr="000D5585">
        <w:rPr>
          <w:rFonts w:ascii="Times New Roman" w:eastAsia="Times New Roman" w:hAnsi="Times New Roman" w:cs="Times New Roman"/>
          <w:color w:val="000000" w:themeColor="text1"/>
          <w:sz w:val="24"/>
          <w:szCs w:val="24"/>
          <w:lang w:eastAsia="ru-RU"/>
        </w:rPr>
        <w:t xml:space="preserve"> </w:t>
      </w:r>
      <w:r w:rsidR="00CB469F" w:rsidRPr="000D5585">
        <w:rPr>
          <w:rFonts w:ascii="Times New Roman" w:eastAsia="Times New Roman" w:hAnsi="Times New Roman" w:cs="Times New Roman"/>
          <w:color w:val="000000" w:themeColor="text1"/>
          <w:sz w:val="24"/>
          <w:szCs w:val="24"/>
          <w:lang w:eastAsia="ru-RU"/>
        </w:rPr>
        <w:t xml:space="preserve">Сумма страховых взносов, как и в настоящее время, будет определяться в рублях и </w:t>
      </w:r>
      <w:proofErr w:type="gramStart"/>
      <w:r w:rsidR="00CB469F" w:rsidRPr="000D5585">
        <w:rPr>
          <w:rFonts w:ascii="Times New Roman" w:eastAsia="Times New Roman" w:hAnsi="Times New Roman" w:cs="Times New Roman"/>
          <w:color w:val="000000" w:themeColor="text1"/>
          <w:sz w:val="24"/>
          <w:szCs w:val="24"/>
          <w:lang w:eastAsia="ru-RU"/>
        </w:rPr>
        <w:t>копейках</w:t>
      </w:r>
      <w:proofErr w:type="gramEnd"/>
      <w:r w:rsidR="00CB469F" w:rsidRPr="000D5585">
        <w:rPr>
          <w:rFonts w:ascii="Times New Roman" w:eastAsia="Times New Roman" w:hAnsi="Times New Roman" w:cs="Times New Roman"/>
          <w:color w:val="000000" w:themeColor="text1"/>
          <w:sz w:val="24"/>
          <w:szCs w:val="24"/>
          <w:lang w:eastAsia="ru-RU"/>
        </w:rPr>
        <w:t xml:space="preserve"> и исчисляться отдельно в отношении страховых взносов на обязательное пенсионное страхование, страховых взносов на обязательное социальное страхование на случай временной нетрудоспособности и в связи с материнством, страховых взносов на обязательное медицинское страхование.</w:t>
      </w:r>
      <w:r w:rsidR="00D170F1" w:rsidRPr="000D5585">
        <w:rPr>
          <w:rFonts w:ascii="Times New Roman" w:eastAsia="Times New Roman" w:hAnsi="Times New Roman" w:cs="Times New Roman"/>
          <w:color w:val="000000" w:themeColor="text1"/>
          <w:sz w:val="24"/>
          <w:szCs w:val="24"/>
          <w:lang w:eastAsia="ru-RU"/>
        </w:rPr>
        <w:t xml:space="preserve"> </w:t>
      </w:r>
      <w:r w:rsidR="00CB469F" w:rsidRPr="000D5585">
        <w:rPr>
          <w:rFonts w:ascii="Times New Roman" w:eastAsia="Times New Roman" w:hAnsi="Times New Roman" w:cs="Times New Roman"/>
          <w:color w:val="000000" w:themeColor="text1"/>
          <w:sz w:val="24"/>
          <w:szCs w:val="24"/>
          <w:lang w:eastAsia="ru-RU"/>
        </w:rPr>
        <w:t>Расчетным периодом, как и сейчас, признается календарный год, а отчетными периодами - первый квартал, полугодие, девять месяцев календарного года.</w:t>
      </w:r>
    </w:p>
    <w:p w:rsidR="005F2ECC" w:rsidRPr="000D5585" w:rsidRDefault="005F2ECC" w:rsidP="000D5585">
      <w:pPr>
        <w:pStyle w:val="ConsPlusNormal"/>
        <w:ind w:firstLine="540"/>
        <w:jc w:val="center"/>
        <w:outlineLvl w:val="0"/>
        <w:rPr>
          <w:rFonts w:ascii="Times New Roman" w:hAnsi="Times New Roman" w:cs="Times New Roman"/>
          <w:color w:val="000000" w:themeColor="text1"/>
          <w:sz w:val="24"/>
          <w:szCs w:val="24"/>
        </w:rPr>
      </w:pPr>
      <w:r w:rsidRPr="000D5585">
        <w:rPr>
          <w:rFonts w:ascii="Times New Roman" w:hAnsi="Times New Roman" w:cs="Times New Roman"/>
          <w:b/>
          <w:color w:val="000000" w:themeColor="text1"/>
          <w:sz w:val="24"/>
          <w:szCs w:val="24"/>
        </w:rPr>
        <w:t>Как ИП рассчитывает фиксированные платежи по взносам на обязательное пенсионное и медицинское страхование</w:t>
      </w: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 xml:space="preserve">Фиксированный размер взносов на обязательное пенсионное и медицинское страхование определяется предпринимателями по правилам, установленным </w:t>
      </w:r>
      <w:hyperlink r:id="rId18" w:history="1">
        <w:r w:rsidRPr="000D5585">
          <w:rPr>
            <w:rFonts w:ascii="Times New Roman" w:hAnsi="Times New Roman" w:cs="Times New Roman"/>
            <w:color w:val="000000" w:themeColor="text1"/>
            <w:sz w:val="24"/>
            <w:szCs w:val="24"/>
          </w:rPr>
          <w:t>п. 1 ст. 430</w:t>
        </w:r>
      </w:hyperlink>
      <w:r w:rsidRPr="000D5585">
        <w:rPr>
          <w:rFonts w:ascii="Times New Roman" w:hAnsi="Times New Roman" w:cs="Times New Roman"/>
          <w:color w:val="000000" w:themeColor="text1"/>
          <w:sz w:val="24"/>
          <w:szCs w:val="24"/>
        </w:rPr>
        <w:t xml:space="preserve"> НК РФ. Эти правила не относятся к главам крестьянских (фермерских) хозяйств, для которых </w:t>
      </w:r>
      <w:hyperlink r:id="rId19" w:history="1">
        <w:r w:rsidRPr="000D5585">
          <w:rPr>
            <w:rFonts w:ascii="Times New Roman" w:hAnsi="Times New Roman" w:cs="Times New Roman"/>
            <w:color w:val="000000" w:themeColor="text1"/>
            <w:sz w:val="24"/>
            <w:szCs w:val="24"/>
          </w:rPr>
          <w:t>п. 2 ст. 430</w:t>
        </w:r>
      </w:hyperlink>
      <w:r w:rsidRPr="000D5585">
        <w:rPr>
          <w:rFonts w:ascii="Times New Roman" w:hAnsi="Times New Roman" w:cs="Times New Roman"/>
          <w:color w:val="000000" w:themeColor="text1"/>
          <w:sz w:val="24"/>
          <w:szCs w:val="24"/>
        </w:rPr>
        <w:t xml:space="preserve"> НК РФ предусмотрен специальный порядок расчета взносов.</w:t>
      </w: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 xml:space="preserve">1. Фиксированный размер взносов на ОПС зависит от величины годового дохода предпринимателя и </w:t>
      </w:r>
      <w:proofErr w:type="gramStart"/>
      <w:r w:rsidRPr="000D5585">
        <w:rPr>
          <w:rFonts w:ascii="Times New Roman" w:hAnsi="Times New Roman" w:cs="Times New Roman"/>
          <w:color w:val="000000" w:themeColor="text1"/>
          <w:sz w:val="24"/>
          <w:szCs w:val="24"/>
        </w:rPr>
        <w:t>за полный год</w:t>
      </w:r>
      <w:proofErr w:type="gramEnd"/>
      <w:r w:rsidRPr="000D5585">
        <w:rPr>
          <w:rFonts w:ascii="Times New Roman" w:hAnsi="Times New Roman" w:cs="Times New Roman"/>
          <w:color w:val="000000" w:themeColor="text1"/>
          <w:sz w:val="24"/>
          <w:szCs w:val="24"/>
        </w:rPr>
        <w:t xml:space="preserve"> деятельности определяется так.</w:t>
      </w: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Если доход меньше или равен 300 000 руб., то сумма взносов на ОПС равна:</w:t>
      </w: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МРОТ на начало года    Х    12   Х   26%</w:t>
      </w: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А если доход больше 300 000 руб., то:</w:t>
      </w:r>
    </w:p>
    <w:p w:rsidR="005F2ECC" w:rsidRPr="000D5585" w:rsidRDefault="005F2ECC" w:rsidP="005F2ECC">
      <w:pPr>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 xml:space="preserve">         МРОТ на начало года    Х    12   Х   26%    +  </w:t>
      </w:r>
      <w:proofErr w:type="gramStart"/>
      <w:r w:rsidRPr="000D5585">
        <w:rPr>
          <w:rFonts w:ascii="Times New Roman" w:hAnsi="Times New Roman" w:cs="Times New Roman"/>
          <w:color w:val="000000" w:themeColor="text1"/>
          <w:sz w:val="24"/>
          <w:szCs w:val="24"/>
        </w:rPr>
        <w:t xml:space="preserve">(  </w:t>
      </w:r>
      <w:proofErr w:type="gramEnd"/>
      <w:r w:rsidRPr="000D5585">
        <w:rPr>
          <w:rFonts w:ascii="Times New Roman" w:hAnsi="Times New Roman" w:cs="Times New Roman"/>
          <w:color w:val="000000" w:themeColor="text1"/>
          <w:sz w:val="24"/>
          <w:szCs w:val="24"/>
        </w:rPr>
        <w:t>Годовой доход   -    300 000 руб.) Х 1%</w:t>
      </w: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Но в этом случае сумма взносов не может быть больше суммы, определяемой как:</w:t>
      </w: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8   Х  МРОТ на начало года      Х   12   Х</w:t>
      </w:r>
      <w:r w:rsidR="000D5585">
        <w:rPr>
          <w:rFonts w:ascii="Times New Roman" w:hAnsi="Times New Roman" w:cs="Times New Roman"/>
          <w:color w:val="000000" w:themeColor="text1"/>
          <w:sz w:val="24"/>
          <w:szCs w:val="24"/>
        </w:rPr>
        <w:t xml:space="preserve">  </w:t>
      </w:r>
      <w:r w:rsidRPr="000D5585">
        <w:rPr>
          <w:rFonts w:ascii="Times New Roman" w:hAnsi="Times New Roman" w:cs="Times New Roman"/>
          <w:color w:val="000000" w:themeColor="text1"/>
          <w:sz w:val="24"/>
          <w:szCs w:val="24"/>
        </w:rPr>
        <w:t>26%</w:t>
      </w:r>
    </w:p>
    <w:p w:rsidR="005F2ECC" w:rsidRPr="000D5585" w:rsidRDefault="005F2ECC" w:rsidP="005F2ECC">
      <w:pPr>
        <w:pStyle w:val="ConsPlusNormal"/>
        <w:jc w:val="both"/>
        <w:rPr>
          <w:rFonts w:ascii="Times New Roman" w:hAnsi="Times New Roman" w:cs="Times New Roman"/>
          <w:color w:val="000000" w:themeColor="text1"/>
          <w:sz w:val="24"/>
          <w:szCs w:val="24"/>
        </w:rPr>
      </w:pP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2. Фиксированный размер взносов на ОМС за год нужно рассчитать по формуле:</w:t>
      </w: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МРОТ на начало года    Х  12    Х  5,1%</w:t>
      </w:r>
    </w:p>
    <w:p w:rsidR="005F2ECC" w:rsidRPr="000D5585" w:rsidRDefault="005F2ECC" w:rsidP="005F2ECC">
      <w:pPr>
        <w:pStyle w:val="ConsPlusNormal"/>
        <w:jc w:val="both"/>
        <w:rPr>
          <w:rFonts w:ascii="Times New Roman" w:hAnsi="Times New Roman" w:cs="Times New Roman"/>
          <w:color w:val="000000" w:themeColor="text1"/>
          <w:sz w:val="24"/>
          <w:szCs w:val="24"/>
        </w:rPr>
      </w:pPr>
    </w:p>
    <w:p w:rsidR="005F2ECC" w:rsidRPr="000D5585" w:rsidRDefault="005F2ECC" w:rsidP="005F2ECC">
      <w:pPr>
        <w:pStyle w:val="ConsPlusNormal"/>
        <w:ind w:firstLine="540"/>
        <w:jc w:val="both"/>
        <w:rPr>
          <w:rFonts w:ascii="Times New Roman" w:hAnsi="Times New Roman" w:cs="Times New Roman"/>
          <w:color w:val="000000" w:themeColor="text1"/>
          <w:sz w:val="20"/>
        </w:rPr>
      </w:pPr>
      <w:r w:rsidRPr="000D5585">
        <w:rPr>
          <w:rFonts w:ascii="Times New Roman" w:hAnsi="Times New Roman" w:cs="Times New Roman"/>
          <w:i/>
          <w:color w:val="000000" w:themeColor="text1"/>
          <w:sz w:val="20"/>
        </w:rPr>
        <w:t>Например, предположим, что за 2017 г. предприниматель заработал 400 000 руб. При этом МРОТ на начало 2017 г. равен 7 500 руб. в месяц. Тогда сумма взносов, подлежащая уплате, составит:</w:t>
      </w:r>
    </w:p>
    <w:p w:rsidR="005F2ECC" w:rsidRPr="000D5585" w:rsidRDefault="005F2ECC" w:rsidP="005F2ECC">
      <w:pPr>
        <w:pStyle w:val="ConsPlusNormal"/>
        <w:ind w:firstLine="540"/>
        <w:jc w:val="both"/>
        <w:rPr>
          <w:rFonts w:ascii="Times New Roman" w:hAnsi="Times New Roman" w:cs="Times New Roman"/>
          <w:color w:val="000000" w:themeColor="text1"/>
          <w:sz w:val="20"/>
        </w:rPr>
      </w:pPr>
      <w:r w:rsidRPr="000D5585">
        <w:rPr>
          <w:rFonts w:ascii="Times New Roman" w:hAnsi="Times New Roman" w:cs="Times New Roman"/>
          <w:i/>
          <w:color w:val="000000" w:themeColor="text1"/>
          <w:sz w:val="20"/>
        </w:rPr>
        <w:t>- на ОПС: 7 500 x 12 x 26% + (400 000 - 300 000) x 1% = 23 400,00 + 1 000,00 = 24 400,00 руб.;</w:t>
      </w:r>
    </w:p>
    <w:p w:rsidR="005F2ECC" w:rsidRPr="000D5585" w:rsidRDefault="005F2ECC" w:rsidP="005F2ECC">
      <w:pPr>
        <w:pStyle w:val="ConsPlusNormal"/>
        <w:ind w:firstLine="540"/>
        <w:jc w:val="both"/>
        <w:rPr>
          <w:rFonts w:ascii="Times New Roman" w:hAnsi="Times New Roman" w:cs="Times New Roman"/>
          <w:color w:val="000000" w:themeColor="text1"/>
          <w:sz w:val="20"/>
        </w:rPr>
      </w:pPr>
      <w:r w:rsidRPr="000D5585">
        <w:rPr>
          <w:rFonts w:ascii="Times New Roman" w:hAnsi="Times New Roman" w:cs="Times New Roman"/>
          <w:i/>
          <w:color w:val="000000" w:themeColor="text1"/>
          <w:sz w:val="20"/>
        </w:rPr>
        <w:t>- на ОМС: 7 500 x 12 x 5,1% = 4 590,00 руб.</w:t>
      </w:r>
    </w:p>
    <w:p w:rsidR="005F2ECC" w:rsidRPr="000D5585" w:rsidRDefault="005F2ECC" w:rsidP="005F2ECC">
      <w:pPr>
        <w:pStyle w:val="ConsPlusNormal"/>
        <w:jc w:val="both"/>
        <w:rPr>
          <w:rFonts w:ascii="Times New Roman" w:hAnsi="Times New Roman" w:cs="Times New Roman"/>
          <w:color w:val="000000" w:themeColor="text1"/>
          <w:sz w:val="20"/>
        </w:rPr>
      </w:pPr>
    </w:p>
    <w:p w:rsidR="005F2ECC" w:rsidRPr="000D5585" w:rsidRDefault="005F2ECC" w:rsidP="005F2ECC">
      <w:pPr>
        <w:pStyle w:val="ConsPlusNormal"/>
        <w:jc w:val="both"/>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 xml:space="preserve">            Для   сведения: Минимальный </w:t>
      </w:r>
      <w:proofErr w:type="gramStart"/>
      <w:r w:rsidRPr="000D5585">
        <w:rPr>
          <w:rFonts w:ascii="Times New Roman" w:hAnsi="Times New Roman" w:cs="Times New Roman"/>
          <w:i/>
          <w:color w:val="000000" w:themeColor="text1"/>
          <w:sz w:val="20"/>
        </w:rPr>
        <w:t>размер оплаты труда</w:t>
      </w:r>
      <w:proofErr w:type="gramEnd"/>
      <w:r w:rsidRPr="000D5585">
        <w:rPr>
          <w:rFonts w:ascii="Times New Roman" w:hAnsi="Times New Roman" w:cs="Times New Roman"/>
          <w:i/>
          <w:color w:val="000000" w:themeColor="text1"/>
          <w:sz w:val="20"/>
        </w:rPr>
        <w:t xml:space="preserve">, </w:t>
      </w:r>
      <w:hyperlink r:id="rId20" w:history="1">
        <w:r w:rsidRPr="000D5585">
          <w:rPr>
            <w:rFonts w:ascii="Times New Roman" w:hAnsi="Times New Roman" w:cs="Times New Roman"/>
            <w:i/>
            <w:color w:val="000000" w:themeColor="text1"/>
            <w:sz w:val="20"/>
          </w:rPr>
          <w:t>применяемый</w:t>
        </w:r>
      </w:hyperlink>
      <w:r w:rsidRPr="000D5585">
        <w:rPr>
          <w:rFonts w:ascii="Times New Roman" w:hAnsi="Times New Roman" w:cs="Times New Roman"/>
          <w:i/>
          <w:color w:val="000000" w:themeColor="text1"/>
          <w:sz w:val="20"/>
        </w:rPr>
        <w:t xml:space="preserve">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3"/>
        <w:gridCol w:w="2380"/>
        <w:gridCol w:w="3570"/>
      </w:tblGrid>
      <w:tr w:rsidR="000D5585" w:rsidRPr="000D5585" w:rsidTr="0092574E">
        <w:tc>
          <w:tcPr>
            <w:tcW w:w="3213" w:type="dxa"/>
          </w:tcPr>
          <w:p w:rsidR="005F2ECC" w:rsidRPr="000D5585" w:rsidRDefault="005F2ECC" w:rsidP="0092574E">
            <w:pPr>
              <w:pStyle w:val="ConsPlusNormal"/>
              <w:jc w:val="center"/>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 xml:space="preserve">Срок, с которого установлен минимальный </w:t>
            </w:r>
            <w:proofErr w:type="gramStart"/>
            <w:r w:rsidRPr="000D5585">
              <w:rPr>
                <w:rFonts w:ascii="Times New Roman" w:hAnsi="Times New Roman" w:cs="Times New Roman"/>
                <w:i/>
                <w:color w:val="000000" w:themeColor="text1"/>
                <w:sz w:val="20"/>
              </w:rPr>
              <w:t>размер оплаты труда</w:t>
            </w:r>
            <w:proofErr w:type="gramEnd"/>
          </w:p>
        </w:tc>
        <w:tc>
          <w:tcPr>
            <w:tcW w:w="2380" w:type="dxa"/>
          </w:tcPr>
          <w:p w:rsidR="005F2ECC" w:rsidRPr="000D5585" w:rsidRDefault="005F2ECC" w:rsidP="0092574E">
            <w:pPr>
              <w:pStyle w:val="ConsPlusNormal"/>
              <w:jc w:val="center"/>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 xml:space="preserve">Сумма минимального </w:t>
            </w:r>
            <w:proofErr w:type="gramStart"/>
            <w:r w:rsidRPr="000D5585">
              <w:rPr>
                <w:rFonts w:ascii="Times New Roman" w:hAnsi="Times New Roman" w:cs="Times New Roman"/>
                <w:i/>
                <w:color w:val="000000" w:themeColor="text1"/>
                <w:sz w:val="20"/>
              </w:rPr>
              <w:t>размера оплаты труда</w:t>
            </w:r>
            <w:proofErr w:type="gramEnd"/>
            <w:r w:rsidRPr="000D5585">
              <w:rPr>
                <w:rFonts w:ascii="Times New Roman" w:hAnsi="Times New Roman" w:cs="Times New Roman"/>
                <w:i/>
                <w:color w:val="000000" w:themeColor="text1"/>
                <w:sz w:val="20"/>
              </w:rPr>
              <w:t xml:space="preserve"> (руб., в месяц)</w:t>
            </w:r>
          </w:p>
        </w:tc>
        <w:tc>
          <w:tcPr>
            <w:tcW w:w="3570" w:type="dxa"/>
          </w:tcPr>
          <w:p w:rsidR="005F2ECC" w:rsidRPr="000D5585" w:rsidRDefault="005F2ECC" w:rsidP="0092574E">
            <w:pPr>
              <w:pStyle w:val="ConsPlusNormal"/>
              <w:jc w:val="center"/>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 xml:space="preserve">Нормативный акт, установивший минимальный </w:t>
            </w:r>
            <w:proofErr w:type="gramStart"/>
            <w:r w:rsidRPr="000D5585">
              <w:rPr>
                <w:rFonts w:ascii="Times New Roman" w:hAnsi="Times New Roman" w:cs="Times New Roman"/>
                <w:i/>
                <w:color w:val="000000" w:themeColor="text1"/>
                <w:sz w:val="20"/>
              </w:rPr>
              <w:t>размер оплаты труда</w:t>
            </w:r>
            <w:proofErr w:type="gramEnd"/>
          </w:p>
        </w:tc>
      </w:tr>
      <w:tr w:rsidR="000D5585" w:rsidRPr="000D5585" w:rsidTr="0092574E">
        <w:tc>
          <w:tcPr>
            <w:tcW w:w="3213" w:type="dxa"/>
          </w:tcPr>
          <w:p w:rsidR="005F2ECC" w:rsidRPr="000D5585" w:rsidRDefault="005F2ECC" w:rsidP="0092574E">
            <w:pPr>
              <w:pStyle w:val="ConsPlusNormal"/>
              <w:outlineLvl w:val="0"/>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с 1 июля 2017 г.</w:t>
            </w:r>
          </w:p>
        </w:tc>
        <w:tc>
          <w:tcPr>
            <w:tcW w:w="2380" w:type="dxa"/>
          </w:tcPr>
          <w:p w:rsidR="005F2ECC" w:rsidRPr="000D5585" w:rsidRDefault="005F2ECC" w:rsidP="0092574E">
            <w:pPr>
              <w:pStyle w:val="ConsPlusNormal"/>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7 800</w:t>
            </w:r>
          </w:p>
        </w:tc>
        <w:tc>
          <w:tcPr>
            <w:tcW w:w="3570" w:type="dxa"/>
          </w:tcPr>
          <w:p w:rsidR="005F2ECC" w:rsidRPr="000D5585" w:rsidRDefault="005F2ECC" w:rsidP="0092574E">
            <w:pPr>
              <w:pStyle w:val="ConsPlusNormal"/>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 xml:space="preserve">ст. 1 Федерального </w:t>
            </w:r>
            <w:hyperlink r:id="rId21" w:history="1">
              <w:r w:rsidRPr="000D5585">
                <w:rPr>
                  <w:rFonts w:ascii="Times New Roman" w:hAnsi="Times New Roman" w:cs="Times New Roman"/>
                  <w:i/>
                  <w:color w:val="000000" w:themeColor="text1"/>
                  <w:sz w:val="20"/>
                </w:rPr>
                <w:t>закона</w:t>
              </w:r>
            </w:hyperlink>
            <w:r w:rsidRPr="000D5585">
              <w:rPr>
                <w:rFonts w:ascii="Times New Roman" w:hAnsi="Times New Roman" w:cs="Times New Roman"/>
                <w:i/>
                <w:color w:val="000000" w:themeColor="text1"/>
                <w:sz w:val="20"/>
              </w:rPr>
              <w:t xml:space="preserve"> от 19.12.2016 N 460-ФЗ</w:t>
            </w:r>
          </w:p>
        </w:tc>
      </w:tr>
      <w:tr w:rsidR="000D5585" w:rsidRPr="000D5585" w:rsidTr="0092574E">
        <w:tc>
          <w:tcPr>
            <w:tcW w:w="3213" w:type="dxa"/>
          </w:tcPr>
          <w:p w:rsidR="005F2ECC" w:rsidRPr="000D5585" w:rsidRDefault="005F2ECC" w:rsidP="0092574E">
            <w:pPr>
              <w:pStyle w:val="ConsPlusNormal"/>
              <w:outlineLvl w:val="0"/>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с 1 июля 2016 г.</w:t>
            </w:r>
          </w:p>
        </w:tc>
        <w:tc>
          <w:tcPr>
            <w:tcW w:w="2380" w:type="dxa"/>
          </w:tcPr>
          <w:p w:rsidR="005F2ECC" w:rsidRPr="000D5585" w:rsidRDefault="005F2ECC" w:rsidP="0092574E">
            <w:pPr>
              <w:pStyle w:val="ConsPlusNormal"/>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7 500</w:t>
            </w:r>
          </w:p>
        </w:tc>
        <w:tc>
          <w:tcPr>
            <w:tcW w:w="3570" w:type="dxa"/>
          </w:tcPr>
          <w:p w:rsidR="005F2ECC" w:rsidRPr="000D5585" w:rsidRDefault="005F2ECC" w:rsidP="0092574E">
            <w:pPr>
              <w:pStyle w:val="ConsPlusNormal"/>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 xml:space="preserve">ст. 1 Федерального </w:t>
            </w:r>
            <w:hyperlink r:id="rId22" w:history="1">
              <w:r w:rsidRPr="000D5585">
                <w:rPr>
                  <w:rFonts w:ascii="Times New Roman" w:hAnsi="Times New Roman" w:cs="Times New Roman"/>
                  <w:i/>
                  <w:color w:val="000000" w:themeColor="text1"/>
                  <w:sz w:val="20"/>
                </w:rPr>
                <w:t>закона</w:t>
              </w:r>
            </w:hyperlink>
            <w:r w:rsidRPr="000D5585">
              <w:rPr>
                <w:rFonts w:ascii="Times New Roman" w:hAnsi="Times New Roman" w:cs="Times New Roman"/>
                <w:i/>
                <w:color w:val="000000" w:themeColor="text1"/>
                <w:sz w:val="20"/>
              </w:rPr>
              <w:t xml:space="preserve"> от 02.06.2016 N 164-ФЗ</w:t>
            </w:r>
          </w:p>
        </w:tc>
      </w:tr>
      <w:tr w:rsidR="000D5585" w:rsidRPr="000D5585" w:rsidTr="0092574E">
        <w:tc>
          <w:tcPr>
            <w:tcW w:w="3213" w:type="dxa"/>
          </w:tcPr>
          <w:p w:rsidR="005F2ECC" w:rsidRPr="000D5585" w:rsidRDefault="005F2ECC" w:rsidP="0092574E">
            <w:pPr>
              <w:pStyle w:val="ConsPlusNormal"/>
              <w:outlineLvl w:val="0"/>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с 1 января 2016 г.</w:t>
            </w:r>
          </w:p>
        </w:tc>
        <w:tc>
          <w:tcPr>
            <w:tcW w:w="2380" w:type="dxa"/>
          </w:tcPr>
          <w:p w:rsidR="005F2ECC" w:rsidRPr="000D5585" w:rsidRDefault="005F2ECC" w:rsidP="0092574E">
            <w:pPr>
              <w:pStyle w:val="ConsPlusNormal"/>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6 204</w:t>
            </w:r>
          </w:p>
        </w:tc>
        <w:tc>
          <w:tcPr>
            <w:tcW w:w="3570" w:type="dxa"/>
          </w:tcPr>
          <w:p w:rsidR="005F2ECC" w:rsidRPr="000D5585" w:rsidRDefault="005F2ECC" w:rsidP="0092574E">
            <w:pPr>
              <w:pStyle w:val="ConsPlusNormal"/>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 xml:space="preserve">ст. 1 Федерального </w:t>
            </w:r>
            <w:hyperlink r:id="rId23" w:history="1">
              <w:r w:rsidRPr="000D5585">
                <w:rPr>
                  <w:rFonts w:ascii="Times New Roman" w:hAnsi="Times New Roman" w:cs="Times New Roman"/>
                  <w:i/>
                  <w:color w:val="000000" w:themeColor="text1"/>
                  <w:sz w:val="20"/>
                </w:rPr>
                <w:t>закона</w:t>
              </w:r>
            </w:hyperlink>
            <w:r w:rsidRPr="000D5585">
              <w:rPr>
                <w:rFonts w:ascii="Times New Roman" w:hAnsi="Times New Roman" w:cs="Times New Roman"/>
                <w:i/>
                <w:color w:val="000000" w:themeColor="text1"/>
                <w:sz w:val="20"/>
              </w:rPr>
              <w:t xml:space="preserve"> от 14.12.2015 N 376-ФЗ</w:t>
            </w:r>
          </w:p>
        </w:tc>
      </w:tr>
      <w:tr w:rsidR="000D5585" w:rsidRPr="000D5585" w:rsidTr="0092574E">
        <w:tc>
          <w:tcPr>
            <w:tcW w:w="3213" w:type="dxa"/>
          </w:tcPr>
          <w:p w:rsidR="005F2ECC" w:rsidRPr="000D5585" w:rsidRDefault="005F2ECC" w:rsidP="0092574E">
            <w:pPr>
              <w:pStyle w:val="ConsPlusNormal"/>
              <w:outlineLvl w:val="0"/>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с 1 января 2015 г.</w:t>
            </w:r>
          </w:p>
        </w:tc>
        <w:tc>
          <w:tcPr>
            <w:tcW w:w="2380" w:type="dxa"/>
          </w:tcPr>
          <w:p w:rsidR="005F2ECC" w:rsidRPr="000D5585" w:rsidRDefault="005F2ECC" w:rsidP="0092574E">
            <w:pPr>
              <w:pStyle w:val="ConsPlusNormal"/>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5965</w:t>
            </w:r>
          </w:p>
        </w:tc>
        <w:tc>
          <w:tcPr>
            <w:tcW w:w="3570" w:type="dxa"/>
          </w:tcPr>
          <w:p w:rsidR="005F2ECC" w:rsidRPr="000D5585" w:rsidRDefault="005F2ECC" w:rsidP="0092574E">
            <w:pPr>
              <w:pStyle w:val="ConsPlusNormal"/>
              <w:rPr>
                <w:rFonts w:ascii="Times New Roman" w:hAnsi="Times New Roman" w:cs="Times New Roman"/>
                <w:i/>
                <w:color w:val="000000" w:themeColor="text1"/>
                <w:sz w:val="20"/>
              </w:rPr>
            </w:pPr>
            <w:r w:rsidRPr="000D5585">
              <w:rPr>
                <w:rFonts w:ascii="Times New Roman" w:hAnsi="Times New Roman" w:cs="Times New Roman"/>
                <w:i/>
                <w:color w:val="000000" w:themeColor="text1"/>
                <w:sz w:val="20"/>
              </w:rPr>
              <w:t xml:space="preserve">ст. 1 Федерального </w:t>
            </w:r>
            <w:hyperlink r:id="rId24" w:history="1">
              <w:r w:rsidRPr="000D5585">
                <w:rPr>
                  <w:rFonts w:ascii="Times New Roman" w:hAnsi="Times New Roman" w:cs="Times New Roman"/>
                  <w:i/>
                  <w:color w:val="000000" w:themeColor="text1"/>
                  <w:sz w:val="20"/>
                </w:rPr>
                <w:t>закона</w:t>
              </w:r>
            </w:hyperlink>
            <w:r w:rsidRPr="000D5585">
              <w:rPr>
                <w:rFonts w:ascii="Times New Roman" w:hAnsi="Times New Roman" w:cs="Times New Roman"/>
                <w:i/>
                <w:color w:val="000000" w:themeColor="text1"/>
                <w:sz w:val="20"/>
              </w:rPr>
              <w:t xml:space="preserve"> от 01.12.2014 N 408-ФЗ</w:t>
            </w:r>
          </w:p>
        </w:tc>
      </w:tr>
    </w:tbl>
    <w:p w:rsidR="005F2ECC" w:rsidRPr="000D5585" w:rsidRDefault="005F2ECC" w:rsidP="007164FA">
      <w:pPr>
        <w:pStyle w:val="ConsPlusNormal"/>
        <w:ind w:firstLine="540"/>
        <w:jc w:val="center"/>
        <w:outlineLvl w:val="0"/>
        <w:rPr>
          <w:rFonts w:ascii="Times New Roman" w:hAnsi="Times New Roman" w:cs="Times New Roman"/>
          <w:color w:val="000000" w:themeColor="text1"/>
          <w:sz w:val="24"/>
          <w:szCs w:val="24"/>
        </w:rPr>
      </w:pPr>
      <w:r w:rsidRPr="000D5585">
        <w:rPr>
          <w:rFonts w:ascii="Times New Roman" w:hAnsi="Times New Roman" w:cs="Times New Roman"/>
          <w:b/>
          <w:color w:val="000000" w:themeColor="text1"/>
          <w:sz w:val="24"/>
          <w:szCs w:val="24"/>
        </w:rPr>
        <w:lastRenderedPageBreak/>
        <w:t>В какие сроки ИП уплачивает фиксированные платежи по взносам на обязательное пенсионное и медицинское страхование</w:t>
      </w:r>
    </w:p>
    <w:p w:rsidR="005F2ECC" w:rsidRPr="000D5585" w:rsidRDefault="005F2ECC" w:rsidP="005F2ECC">
      <w:pPr>
        <w:pStyle w:val="ConsPlusNormal"/>
        <w:ind w:firstLine="540"/>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 xml:space="preserve">Общий срок уплаты фиксированных платежей по взносам на обязательное пенсионное и медицинское страхование за год - не позднее 31 декабря этого года. При этом </w:t>
      </w:r>
      <w:hyperlink r:id="rId25" w:history="1">
        <w:r w:rsidRPr="000D5585">
          <w:rPr>
            <w:rFonts w:ascii="Times New Roman" w:hAnsi="Times New Roman" w:cs="Times New Roman"/>
            <w:color w:val="000000" w:themeColor="text1"/>
            <w:sz w:val="24"/>
            <w:szCs w:val="24"/>
          </w:rPr>
          <w:t>ст. 432</w:t>
        </w:r>
      </w:hyperlink>
      <w:r w:rsidRPr="000D5585">
        <w:rPr>
          <w:rFonts w:ascii="Times New Roman" w:hAnsi="Times New Roman" w:cs="Times New Roman"/>
          <w:color w:val="000000" w:themeColor="text1"/>
          <w:sz w:val="24"/>
          <w:szCs w:val="24"/>
        </w:rPr>
        <w:t xml:space="preserve"> НК РФ не устанавливает какой-либо периодичности уплаты этих взносов в течение года. Поэтому вы сами можете решить, как часто их уплачивать (например, ежемесячно, ежеквартально или одной суммой сразу).</w:t>
      </w:r>
    </w:p>
    <w:p w:rsidR="005F2ECC" w:rsidRPr="007164FA" w:rsidRDefault="005F2ECC" w:rsidP="005F2ECC">
      <w:pPr>
        <w:pStyle w:val="ConsPlusNormal"/>
        <w:ind w:firstLine="540"/>
        <w:jc w:val="both"/>
        <w:rPr>
          <w:rFonts w:ascii="Times New Roman" w:hAnsi="Times New Roman" w:cs="Times New Roman"/>
          <w:i/>
          <w:color w:val="000000" w:themeColor="text1"/>
          <w:sz w:val="24"/>
          <w:szCs w:val="24"/>
        </w:rPr>
      </w:pPr>
      <w:r w:rsidRPr="007164FA">
        <w:rPr>
          <w:rFonts w:ascii="Times New Roman" w:hAnsi="Times New Roman" w:cs="Times New Roman"/>
          <w:i/>
          <w:color w:val="000000" w:themeColor="text1"/>
          <w:sz w:val="24"/>
          <w:szCs w:val="24"/>
        </w:rPr>
        <w:t>Пример расчета платежей по взносам в зависимости от периодичности их уплаты</w:t>
      </w:r>
    </w:p>
    <w:p w:rsidR="005F2ECC" w:rsidRPr="007164FA" w:rsidRDefault="005F2ECC" w:rsidP="005F2ECC">
      <w:pPr>
        <w:pStyle w:val="ConsPlusNormal"/>
        <w:ind w:firstLine="540"/>
        <w:jc w:val="both"/>
        <w:rPr>
          <w:rFonts w:ascii="Times New Roman" w:hAnsi="Times New Roman" w:cs="Times New Roman"/>
          <w:i/>
          <w:color w:val="000000" w:themeColor="text1"/>
          <w:sz w:val="24"/>
          <w:szCs w:val="24"/>
        </w:rPr>
      </w:pPr>
      <w:r w:rsidRPr="007164FA">
        <w:rPr>
          <w:rFonts w:ascii="Times New Roman" w:hAnsi="Times New Roman" w:cs="Times New Roman"/>
          <w:i/>
          <w:color w:val="000000" w:themeColor="text1"/>
          <w:sz w:val="24"/>
          <w:szCs w:val="24"/>
        </w:rPr>
        <w:t>Например, сумма фиксированных платежей по страховым взносам, которую предприниматель должен уплатить не позднее 31 декабря, составляет:</w:t>
      </w:r>
    </w:p>
    <w:p w:rsidR="005F2ECC" w:rsidRPr="007164FA" w:rsidRDefault="005F2ECC" w:rsidP="005F2ECC">
      <w:pPr>
        <w:pStyle w:val="ConsPlusNormal"/>
        <w:ind w:firstLine="540"/>
        <w:jc w:val="both"/>
        <w:rPr>
          <w:rFonts w:ascii="Times New Roman" w:hAnsi="Times New Roman" w:cs="Times New Roman"/>
          <w:i/>
          <w:color w:val="000000" w:themeColor="text1"/>
          <w:sz w:val="24"/>
          <w:szCs w:val="24"/>
        </w:rPr>
      </w:pPr>
      <w:r w:rsidRPr="007164FA">
        <w:rPr>
          <w:rFonts w:ascii="Times New Roman" w:hAnsi="Times New Roman" w:cs="Times New Roman"/>
          <w:i/>
          <w:color w:val="000000" w:themeColor="text1"/>
          <w:sz w:val="24"/>
          <w:szCs w:val="24"/>
        </w:rPr>
        <w:t>- на ОПС - 23 400,00 руб.;</w:t>
      </w:r>
    </w:p>
    <w:p w:rsidR="005F2ECC" w:rsidRPr="007164FA" w:rsidRDefault="005F2ECC" w:rsidP="005F2ECC">
      <w:pPr>
        <w:pStyle w:val="ConsPlusNormal"/>
        <w:ind w:firstLine="540"/>
        <w:jc w:val="both"/>
        <w:rPr>
          <w:rFonts w:ascii="Times New Roman" w:hAnsi="Times New Roman" w:cs="Times New Roman"/>
          <w:i/>
          <w:color w:val="000000" w:themeColor="text1"/>
          <w:sz w:val="24"/>
          <w:szCs w:val="24"/>
        </w:rPr>
      </w:pPr>
      <w:r w:rsidRPr="007164FA">
        <w:rPr>
          <w:rFonts w:ascii="Times New Roman" w:hAnsi="Times New Roman" w:cs="Times New Roman"/>
          <w:i/>
          <w:color w:val="000000" w:themeColor="text1"/>
          <w:sz w:val="24"/>
          <w:szCs w:val="24"/>
        </w:rPr>
        <w:t>- на ОМС - 4 590,00 руб.</w:t>
      </w:r>
    </w:p>
    <w:p w:rsidR="005F2ECC" w:rsidRPr="007164FA" w:rsidRDefault="005F2ECC" w:rsidP="007164FA">
      <w:pPr>
        <w:pStyle w:val="ConsPlusNormal"/>
        <w:ind w:firstLine="540"/>
        <w:jc w:val="both"/>
        <w:rPr>
          <w:rFonts w:ascii="Times New Roman" w:hAnsi="Times New Roman" w:cs="Times New Roman"/>
          <w:i/>
          <w:color w:val="000000" w:themeColor="text1"/>
          <w:sz w:val="24"/>
          <w:szCs w:val="24"/>
        </w:rPr>
      </w:pPr>
      <w:r w:rsidRPr="007164FA">
        <w:rPr>
          <w:rFonts w:ascii="Times New Roman" w:hAnsi="Times New Roman" w:cs="Times New Roman"/>
          <w:i/>
          <w:color w:val="000000" w:themeColor="text1"/>
          <w:sz w:val="24"/>
          <w:szCs w:val="24"/>
        </w:rPr>
        <w:t>В зависимости от того, как часто предприниматель решит уплачивать взносы, сумма разового платежа составит:</w:t>
      </w:r>
    </w:p>
    <w:p w:rsidR="005F2ECC" w:rsidRPr="007164FA" w:rsidRDefault="005F2ECC" w:rsidP="007164FA">
      <w:pPr>
        <w:spacing w:line="240" w:lineRule="auto"/>
        <w:contextualSpacing/>
        <w:jc w:val="both"/>
        <w:rPr>
          <w:rFonts w:ascii="Times New Roman" w:hAnsi="Times New Roman" w:cs="Times New Roman"/>
          <w:i/>
          <w:color w:val="000000" w:themeColor="text1"/>
          <w:sz w:val="24"/>
          <w:szCs w:val="24"/>
        </w:rPr>
      </w:pPr>
      <w:r w:rsidRPr="007164FA">
        <w:rPr>
          <w:rFonts w:ascii="Times New Roman" w:hAnsi="Times New Roman" w:cs="Times New Roman"/>
          <w:i/>
          <w:color w:val="000000" w:themeColor="text1"/>
          <w:sz w:val="24"/>
          <w:szCs w:val="24"/>
        </w:rPr>
        <w:t xml:space="preserve">         Если в текущем году ваш доход превысил 300 000 руб., то страховые взносы нужно уплачивать в такие сроки:</w:t>
      </w:r>
    </w:p>
    <w:p w:rsidR="005F2ECC" w:rsidRPr="007164FA" w:rsidRDefault="005F2ECC" w:rsidP="007164FA">
      <w:pPr>
        <w:spacing w:line="240" w:lineRule="auto"/>
        <w:contextualSpacing/>
        <w:jc w:val="both"/>
        <w:rPr>
          <w:rFonts w:ascii="Times New Roman" w:hAnsi="Times New Roman" w:cs="Times New Roman"/>
          <w:i/>
          <w:color w:val="000000" w:themeColor="text1"/>
          <w:sz w:val="24"/>
          <w:szCs w:val="24"/>
        </w:rPr>
      </w:pPr>
      <w:r w:rsidRPr="007164FA">
        <w:rPr>
          <w:rFonts w:ascii="Times New Roman" w:hAnsi="Times New Roman" w:cs="Times New Roman"/>
          <w:i/>
          <w:color w:val="000000" w:themeColor="text1"/>
          <w:sz w:val="24"/>
          <w:szCs w:val="24"/>
        </w:rPr>
        <w:t>- часть взносов, которая не зависит от суммы дохода за год, - не позднее 31 декабря текущего года;</w:t>
      </w:r>
    </w:p>
    <w:p w:rsidR="005F2ECC" w:rsidRPr="007164FA" w:rsidRDefault="005F2ECC" w:rsidP="007164FA">
      <w:pPr>
        <w:spacing w:line="240" w:lineRule="auto"/>
        <w:contextualSpacing/>
        <w:jc w:val="both"/>
        <w:rPr>
          <w:rFonts w:ascii="Times New Roman" w:hAnsi="Times New Roman" w:cs="Times New Roman"/>
          <w:i/>
          <w:color w:val="000000" w:themeColor="text1"/>
          <w:sz w:val="24"/>
          <w:szCs w:val="24"/>
        </w:rPr>
      </w:pPr>
      <w:r w:rsidRPr="007164FA">
        <w:rPr>
          <w:rFonts w:ascii="Times New Roman" w:hAnsi="Times New Roman" w:cs="Times New Roman"/>
          <w:i/>
          <w:color w:val="000000" w:themeColor="text1"/>
          <w:sz w:val="24"/>
          <w:szCs w:val="24"/>
        </w:rPr>
        <w:t xml:space="preserve">- часть взносов, которая исчисляется с суммы дохода, превышающего 300 000 руб., - не позднее 1 апреля года, следующего за </w:t>
      </w:r>
      <w:proofErr w:type="gramStart"/>
      <w:r w:rsidRPr="007164FA">
        <w:rPr>
          <w:rFonts w:ascii="Times New Roman" w:hAnsi="Times New Roman" w:cs="Times New Roman"/>
          <w:i/>
          <w:color w:val="000000" w:themeColor="text1"/>
          <w:sz w:val="24"/>
          <w:szCs w:val="24"/>
        </w:rPr>
        <w:t>истекшим</w:t>
      </w:r>
      <w:proofErr w:type="gramEnd"/>
      <w:r w:rsidRPr="007164FA">
        <w:rPr>
          <w:rFonts w:ascii="Times New Roman" w:hAnsi="Times New Roman" w:cs="Times New Roman"/>
          <w:i/>
          <w:color w:val="000000" w:themeColor="text1"/>
          <w:sz w:val="24"/>
          <w:szCs w:val="24"/>
        </w:rPr>
        <w:t>.</w:t>
      </w:r>
    </w:p>
    <w:p w:rsidR="007164FA" w:rsidRPr="000D5585" w:rsidRDefault="007164FA" w:rsidP="007164FA">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7"/>
        <w:gridCol w:w="2976"/>
        <w:gridCol w:w="3261"/>
      </w:tblGrid>
      <w:tr w:rsidR="007164FA" w:rsidRPr="007164FA" w:rsidTr="007164FA">
        <w:trPr>
          <w:trHeight w:val="479"/>
        </w:trPr>
        <w:tc>
          <w:tcPr>
            <w:tcW w:w="2757" w:type="dxa"/>
            <w:vAlign w:val="center"/>
          </w:tcPr>
          <w:p w:rsidR="007164FA" w:rsidRPr="007164FA" w:rsidRDefault="007164FA" w:rsidP="00C47323">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Периодичность уплаты</w:t>
            </w:r>
          </w:p>
        </w:tc>
        <w:tc>
          <w:tcPr>
            <w:tcW w:w="2976" w:type="dxa"/>
            <w:vAlign w:val="center"/>
          </w:tcPr>
          <w:p w:rsidR="007164FA" w:rsidRPr="007164FA" w:rsidRDefault="007164FA" w:rsidP="00C47323">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Размер разового платежа на ОПС, руб. коп.</w:t>
            </w:r>
          </w:p>
        </w:tc>
        <w:tc>
          <w:tcPr>
            <w:tcW w:w="3261" w:type="dxa"/>
            <w:vAlign w:val="center"/>
          </w:tcPr>
          <w:p w:rsidR="007164FA" w:rsidRPr="007164FA" w:rsidRDefault="007164FA" w:rsidP="00C47323">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Размер разового платежа на ОМС, руб. коп.</w:t>
            </w:r>
          </w:p>
        </w:tc>
      </w:tr>
      <w:tr w:rsidR="007164FA" w:rsidRPr="007164FA" w:rsidTr="00C47323">
        <w:tc>
          <w:tcPr>
            <w:tcW w:w="2757" w:type="dxa"/>
            <w:vAlign w:val="center"/>
          </w:tcPr>
          <w:p w:rsidR="007164FA" w:rsidRPr="007164FA" w:rsidRDefault="007164FA" w:rsidP="00C47323">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одной суммой за год</w:t>
            </w:r>
          </w:p>
        </w:tc>
        <w:tc>
          <w:tcPr>
            <w:tcW w:w="2976" w:type="dxa"/>
            <w:vAlign w:val="center"/>
          </w:tcPr>
          <w:p w:rsidR="007164FA" w:rsidRPr="007164FA" w:rsidRDefault="007164FA" w:rsidP="00C47323">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23 400,00</w:t>
            </w:r>
          </w:p>
        </w:tc>
        <w:tc>
          <w:tcPr>
            <w:tcW w:w="3261" w:type="dxa"/>
            <w:vAlign w:val="center"/>
          </w:tcPr>
          <w:p w:rsidR="007164FA" w:rsidRPr="007164FA" w:rsidRDefault="007164FA" w:rsidP="00C47323">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4 590,00</w:t>
            </w:r>
          </w:p>
        </w:tc>
      </w:tr>
      <w:tr w:rsidR="007164FA" w:rsidRPr="007164FA" w:rsidTr="00C47323">
        <w:tc>
          <w:tcPr>
            <w:tcW w:w="2757" w:type="dxa"/>
            <w:vAlign w:val="center"/>
          </w:tcPr>
          <w:p w:rsidR="007164FA" w:rsidRPr="007164FA" w:rsidRDefault="007164FA" w:rsidP="00C47323">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ежеквартально</w:t>
            </w:r>
          </w:p>
        </w:tc>
        <w:tc>
          <w:tcPr>
            <w:tcW w:w="2976" w:type="dxa"/>
            <w:vAlign w:val="center"/>
          </w:tcPr>
          <w:p w:rsidR="007164FA" w:rsidRPr="007164FA" w:rsidRDefault="007164FA" w:rsidP="007164FA">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5 850,00 в квартал</w:t>
            </w:r>
            <w:r>
              <w:rPr>
                <w:rFonts w:ascii="Times New Roman" w:hAnsi="Times New Roman" w:cs="Times New Roman"/>
                <w:i/>
                <w:color w:val="000000" w:themeColor="text1"/>
                <w:sz w:val="16"/>
                <w:szCs w:val="16"/>
              </w:rPr>
              <w:t xml:space="preserve"> </w:t>
            </w:r>
            <w:r w:rsidRPr="007164FA">
              <w:rPr>
                <w:rFonts w:ascii="Times New Roman" w:hAnsi="Times New Roman" w:cs="Times New Roman"/>
                <w:i/>
                <w:color w:val="000000" w:themeColor="text1"/>
                <w:sz w:val="16"/>
                <w:szCs w:val="16"/>
              </w:rPr>
              <w:t>(23 400,00/4)</w:t>
            </w:r>
          </w:p>
        </w:tc>
        <w:tc>
          <w:tcPr>
            <w:tcW w:w="3261" w:type="dxa"/>
            <w:vAlign w:val="center"/>
          </w:tcPr>
          <w:p w:rsidR="007164FA" w:rsidRPr="007164FA" w:rsidRDefault="007164FA" w:rsidP="007164FA">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1 147,50 в квартал</w:t>
            </w:r>
            <w:r>
              <w:rPr>
                <w:rFonts w:ascii="Times New Roman" w:hAnsi="Times New Roman" w:cs="Times New Roman"/>
                <w:i/>
                <w:color w:val="000000" w:themeColor="text1"/>
                <w:sz w:val="16"/>
                <w:szCs w:val="16"/>
              </w:rPr>
              <w:t xml:space="preserve"> </w:t>
            </w:r>
            <w:r w:rsidRPr="007164FA">
              <w:rPr>
                <w:rFonts w:ascii="Times New Roman" w:hAnsi="Times New Roman" w:cs="Times New Roman"/>
                <w:i/>
                <w:color w:val="000000" w:themeColor="text1"/>
                <w:sz w:val="16"/>
                <w:szCs w:val="16"/>
              </w:rPr>
              <w:t>(4 590,00/4)</w:t>
            </w:r>
          </w:p>
        </w:tc>
      </w:tr>
      <w:tr w:rsidR="007164FA" w:rsidRPr="007164FA" w:rsidTr="00C47323">
        <w:tc>
          <w:tcPr>
            <w:tcW w:w="2757" w:type="dxa"/>
            <w:vAlign w:val="center"/>
          </w:tcPr>
          <w:p w:rsidR="007164FA" w:rsidRPr="007164FA" w:rsidRDefault="007164FA" w:rsidP="00C47323">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ежемесячно</w:t>
            </w:r>
          </w:p>
        </w:tc>
        <w:tc>
          <w:tcPr>
            <w:tcW w:w="2976" w:type="dxa"/>
            <w:vAlign w:val="center"/>
          </w:tcPr>
          <w:p w:rsidR="007164FA" w:rsidRPr="007164FA" w:rsidRDefault="007164FA" w:rsidP="007164FA">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1 950,00 в месяц</w:t>
            </w:r>
            <w:r>
              <w:rPr>
                <w:rFonts w:ascii="Times New Roman" w:hAnsi="Times New Roman" w:cs="Times New Roman"/>
                <w:i/>
                <w:color w:val="000000" w:themeColor="text1"/>
                <w:sz w:val="16"/>
                <w:szCs w:val="16"/>
              </w:rPr>
              <w:t xml:space="preserve">  </w:t>
            </w:r>
            <w:r w:rsidRPr="007164FA">
              <w:rPr>
                <w:rFonts w:ascii="Times New Roman" w:hAnsi="Times New Roman" w:cs="Times New Roman"/>
                <w:i/>
                <w:color w:val="000000" w:themeColor="text1"/>
                <w:sz w:val="16"/>
                <w:szCs w:val="16"/>
              </w:rPr>
              <w:t>(23 400,00/12)</w:t>
            </w:r>
          </w:p>
        </w:tc>
        <w:tc>
          <w:tcPr>
            <w:tcW w:w="3261" w:type="dxa"/>
            <w:vAlign w:val="center"/>
          </w:tcPr>
          <w:p w:rsidR="007164FA" w:rsidRPr="007164FA" w:rsidRDefault="007164FA" w:rsidP="007164FA">
            <w:pPr>
              <w:rPr>
                <w:rFonts w:ascii="Times New Roman" w:hAnsi="Times New Roman" w:cs="Times New Roman"/>
                <w:i/>
                <w:color w:val="000000" w:themeColor="text1"/>
                <w:sz w:val="16"/>
                <w:szCs w:val="16"/>
              </w:rPr>
            </w:pPr>
            <w:r w:rsidRPr="007164FA">
              <w:rPr>
                <w:rFonts w:ascii="Times New Roman" w:hAnsi="Times New Roman" w:cs="Times New Roman"/>
                <w:i/>
                <w:color w:val="000000" w:themeColor="text1"/>
                <w:sz w:val="16"/>
                <w:szCs w:val="16"/>
              </w:rPr>
              <w:t>382,50 в месяц</w:t>
            </w:r>
            <w:r>
              <w:rPr>
                <w:rFonts w:ascii="Times New Roman" w:hAnsi="Times New Roman" w:cs="Times New Roman"/>
                <w:i/>
                <w:color w:val="000000" w:themeColor="text1"/>
                <w:sz w:val="16"/>
                <w:szCs w:val="16"/>
              </w:rPr>
              <w:t xml:space="preserve">  </w:t>
            </w:r>
            <w:r w:rsidRPr="007164FA">
              <w:rPr>
                <w:rFonts w:ascii="Times New Roman" w:hAnsi="Times New Roman" w:cs="Times New Roman"/>
                <w:i/>
                <w:color w:val="000000" w:themeColor="text1"/>
                <w:sz w:val="16"/>
                <w:szCs w:val="16"/>
              </w:rPr>
              <w:t>(4 590,00/12)</w:t>
            </w:r>
          </w:p>
        </w:tc>
      </w:tr>
    </w:tbl>
    <w:p w:rsidR="005F2ECC" w:rsidRPr="000D5585" w:rsidRDefault="005F2ECC" w:rsidP="007164FA">
      <w:pPr>
        <w:spacing w:line="240" w:lineRule="auto"/>
        <w:contextualSpacing/>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Индивидуальные предприниматели (главы КФХ), которые прекратили свою деятельность до конца года, уплачивают страховые взносы в специальные сроки.</w:t>
      </w:r>
    </w:p>
    <w:p w:rsidR="005F2ECC" w:rsidRPr="000D5585" w:rsidRDefault="007164FA" w:rsidP="007164FA">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2ECC" w:rsidRPr="000D5585">
        <w:rPr>
          <w:rFonts w:ascii="Times New Roman" w:hAnsi="Times New Roman" w:cs="Times New Roman"/>
          <w:color w:val="000000" w:themeColor="text1"/>
          <w:sz w:val="24"/>
          <w:szCs w:val="24"/>
        </w:rPr>
        <w:t>Напомним, что если последний день срока выпадет на выходной и (или) нерабочий праздничный день, то окончание срока переносится на ближайши</w:t>
      </w:r>
      <w:r>
        <w:rPr>
          <w:rFonts w:ascii="Times New Roman" w:hAnsi="Times New Roman" w:cs="Times New Roman"/>
          <w:color w:val="000000" w:themeColor="text1"/>
          <w:sz w:val="24"/>
          <w:szCs w:val="24"/>
        </w:rPr>
        <w:t>й следующий за ним рабочий день</w:t>
      </w:r>
      <w:r w:rsidR="005F2ECC" w:rsidRPr="000D5585">
        <w:rPr>
          <w:rFonts w:ascii="Times New Roman" w:hAnsi="Times New Roman" w:cs="Times New Roman"/>
          <w:color w:val="000000" w:themeColor="text1"/>
          <w:sz w:val="24"/>
          <w:szCs w:val="24"/>
        </w:rPr>
        <w:t>.</w:t>
      </w:r>
    </w:p>
    <w:p w:rsidR="005F2ECC" w:rsidRPr="000D5585" w:rsidRDefault="007164FA" w:rsidP="007164FA">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F2ECC" w:rsidRPr="000D5585">
        <w:rPr>
          <w:rFonts w:ascii="Times New Roman" w:hAnsi="Times New Roman" w:cs="Times New Roman"/>
          <w:color w:val="000000" w:themeColor="text1"/>
          <w:sz w:val="24"/>
          <w:szCs w:val="24"/>
        </w:rPr>
        <w:t>Следует иметь в виду, что при уплате страховых взносов с нарушением срока могут быть начислены пени (п. 2 ст. 57, ст. 75 НК РФ).</w:t>
      </w:r>
    </w:p>
    <w:p w:rsidR="006A2524" w:rsidRPr="000D5585" w:rsidRDefault="006A2524" w:rsidP="006A2524">
      <w:pPr>
        <w:shd w:val="clear" w:color="auto" w:fill="FFFFFF"/>
        <w:spacing w:after="0" w:line="288" w:lineRule="atLeast"/>
        <w:outlineLvl w:val="1"/>
        <w:rPr>
          <w:rFonts w:ascii="Times New Roman" w:hAnsi="Times New Roman" w:cs="Times New Roman"/>
          <w:color w:val="000000" w:themeColor="text1"/>
          <w:sz w:val="24"/>
          <w:szCs w:val="24"/>
        </w:rPr>
      </w:pPr>
    </w:p>
    <w:p w:rsidR="006A2524" w:rsidRPr="007164FA" w:rsidRDefault="006A2524" w:rsidP="006A2524">
      <w:pPr>
        <w:shd w:val="clear" w:color="auto" w:fill="FFFFFF"/>
        <w:spacing w:after="0" w:line="288" w:lineRule="atLeast"/>
        <w:jc w:val="center"/>
        <w:outlineLvl w:val="1"/>
        <w:rPr>
          <w:rFonts w:ascii="Times New Roman" w:eastAsia="Times New Roman" w:hAnsi="Times New Roman" w:cs="Times New Roman"/>
          <w:b/>
          <w:caps/>
          <w:color w:val="000000" w:themeColor="text1"/>
          <w:sz w:val="24"/>
          <w:szCs w:val="24"/>
          <w:lang w:eastAsia="ru-RU"/>
        </w:rPr>
      </w:pPr>
      <w:r w:rsidRPr="007164FA">
        <w:rPr>
          <w:rFonts w:ascii="Times New Roman" w:hAnsi="Times New Roman" w:cs="Times New Roman"/>
          <w:b/>
          <w:color w:val="000000" w:themeColor="text1"/>
          <w:sz w:val="24"/>
          <w:szCs w:val="24"/>
        </w:rPr>
        <w:t>Представление отчетности</w:t>
      </w:r>
    </w:p>
    <w:p w:rsidR="00CB469F" w:rsidRPr="000D5585" w:rsidRDefault="00CB469F" w:rsidP="00CB469F">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proofErr w:type="gramStart"/>
      <w:r w:rsidRPr="000D5585">
        <w:rPr>
          <w:rFonts w:ascii="Times New Roman" w:eastAsia="Times New Roman" w:hAnsi="Times New Roman" w:cs="Times New Roman"/>
          <w:color w:val="000000" w:themeColor="text1"/>
          <w:sz w:val="24"/>
          <w:szCs w:val="24"/>
          <w:lang w:eastAsia="ru-RU"/>
        </w:rPr>
        <w:t>Плательщики, производящие выплаты в пользу физических лиц, представляют расчет по страховым взносам ежеквартально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roofErr w:type="gramEnd"/>
    </w:p>
    <w:p w:rsidR="00CB469F" w:rsidRPr="000D5585" w:rsidRDefault="00CB469F" w:rsidP="00CB469F">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Главы крестьянских (фермерских) хозяй</w:t>
      </w:r>
      <w:proofErr w:type="gramStart"/>
      <w:r w:rsidRPr="000D5585">
        <w:rPr>
          <w:rFonts w:ascii="Times New Roman" w:eastAsia="Times New Roman" w:hAnsi="Times New Roman" w:cs="Times New Roman"/>
          <w:color w:val="000000" w:themeColor="text1"/>
          <w:sz w:val="24"/>
          <w:szCs w:val="24"/>
          <w:lang w:eastAsia="ru-RU"/>
        </w:rPr>
        <w:t>ств пр</w:t>
      </w:r>
      <w:proofErr w:type="gramEnd"/>
      <w:r w:rsidRPr="000D5585">
        <w:rPr>
          <w:rFonts w:ascii="Times New Roman" w:eastAsia="Times New Roman" w:hAnsi="Times New Roman" w:cs="Times New Roman"/>
          <w:color w:val="000000" w:themeColor="text1"/>
          <w:sz w:val="24"/>
          <w:szCs w:val="24"/>
          <w:lang w:eastAsia="ru-RU"/>
        </w:rPr>
        <w:t>едставляют в налоговый орган по месту учета расчет по страховым взносам ежегодно до 30 января календарного года, следующего за истекшим расчетным периодом.</w:t>
      </w:r>
    </w:p>
    <w:p w:rsidR="00A55B8D" w:rsidRPr="000D5585" w:rsidRDefault="00A55B8D" w:rsidP="00CB469F">
      <w:pPr>
        <w:shd w:val="clear" w:color="auto" w:fill="FFFFFF"/>
        <w:spacing w:before="195" w:after="195" w:line="240" w:lineRule="auto"/>
        <w:contextualSpacing/>
        <w:jc w:val="both"/>
        <w:rPr>
          <w:rFonts w:ascii="Times New Roman" w:eastAsia="Times New Roman" w:hAnsi="Times New Roman" w:cs="Times New Roman"/>
          <w:color w:val="000000" w:themeColor="text1"/>
          <w:sz w:val="24"/>
          <w:szCs w:val="24"/>
          <w:lang w:eastAsia="ru-RU"/>
        </w:rPr>
      </w:pPr>
      <w:r w:rsidRPr="000D5585">
        <w:rPr>
          <w:rFonts w:ascii="Times New Roman" w:eastAsia="Times New Roman" w:hAnsi="Times New Roman" w:cs="Times New Roman"/>
          <w:color w:val="000000" w:themeColor="text1"/>
          <w:sz w:val="24"/>
          <w:szCs w:val="24"/>
          <w:lang w:eastAsia="ru-RU"/>
        </w:rPr>
        <w:t xml:space="preserve">          </w:t>
      </w:r>
      <w:proofErr w:type="gramStart"/>
      <w:r w:rsidRPr="000D5585">
        <w:rPr>
          <w:rFonts w:ascii="Times New Roman" w:eastAsia="Times New Roman" w:hAnsi="Times New Roman" w:cs="Times New Roman"/>
          <w:color w:val="000000" w:themeColor="text1"/>
          <w:sz w:val="24"/>
          <w:szCs w:val="24"/>
          <w:lang w:eastAsia="ru-RU"/>
        </w:rPr>
        <w:t xml:space="preserve">С 1 января 2017 года уплата страховых взносов и представление расчетов по страховым взносам производятся организациями, имеющими обособленные подразделения, по месту их нахождения и по месту нахождения обособленных </w:t>
      </w:r>
      <w:r w:rsidRPr="000D5585">
        <w:rPr>
          <w:rFonts w:ascii="Times New Roman" w:eastAsia="Times New Roman" w:hAnsi="Times New Roman" w:cs="Times New Roman"/>
          <w:color w:val="000000" w:themeColor="text1"/>
          <w:sz w:val="24"/>
          <w:szCs w:val="24"/>
          <w:lang w:eastAsia="ru-RU"/>
        </w:rPr>
        <w:lastRenderedPageBreak/>
        <w:t>подразделений, которые начисляют выплаты и иные вознаграждения в пользу физических лиц, за исключением организаций, имеющих обособленные подразделения за рубежом (в этом случае уплата страховых взносов и представление отчетности происходит централизовано по месту</w:t>
      </w:r>
      <w:proofErr w:type="gramEnd"/>
      <w:r w:rsidRPr="000D5585">
        <w:rPr>
          <w:rFonts w:ascii="Times New Roman" w:eastAsia="Times New Roman" w:hAnsi="Times New Roman" w:cs="Times New Roman"/>
          <w:color w:val="000000" w:themeColor="text1"/>
          <w:sz w:val="24"/>
          <w:szCs w:val="24"/>
          <w:lang w:eastAsia="ru-RU"/>
        </w:rPr>
        <w:t xml:space="preserve"> нахождения головной организации).</w:t>
      </w:r>
    </w:p>
    <w:p w:rsidR="00CB469F" w:rsidRPr="000D5585" w:rsidRDefault="00CB469F" w:rsidP="00CB469F">
      <w:pPr>
        <w:shd w:val="clear" w:color="auto" w:fill="FFFFFF"/>
        <w:spacing w:before="195" w:after="195" w:line="240" w:lineRule="auto"/>
        <w:contextualSpacing/>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 xml:space="preserve">           </w:t>
      </w:r>
      <w:hyperlink r:id="rId26" w:history="1">
        <w:r w:rsidRPr="000D5585">
          <w:rPr>
            <w:rFonts w:ascii="Times New Roman" w:hAnsi="Times New Roman" w:cs="Times New Roman"/>
            <w:color w:val="000000" w:themeColor="text1"/>
            <w:sz w:val="24"/>
            <w:szCs w:val="24"/>
          </w:rPr>
          <w:t>Расчеты</w:t>
        </w:r>
      </w:hyperlink>
      <w:r w:rsidRPr="000D5585">
        <w:rPr>
          <w:rFonts w:ascii="Times New Roman" w:hAnsi="Times New Roman" w:cs="Times New Roman"/>
          <w:color w:val="000000" w:themeColor="text1"/>
          <w:sz w:val="24"/>
          <w:szCs w:val="24"/>
        </w:rPr>
        <w:t xml:space="preserve"> по страховым взносам за отчетные (расчетные) периоды, начиная с отчетности за 1 квартал 2017 года, представляются плательщиками страховых взносов в налоговые органы по месту учета по форме и формату, утвержденным приказом ФНС России от 10.10.2016 N ММВ-7-11/551@ (Зарегистрировано в Минюсте России 26.10.2016 N 44141).</w:t>
      </w:r>
    </w:p>
    <w:p w:rsidR="00316971" w:rsidRPr="000D5585" w:rsidRDefault="00316971" w:rsidP="00CB469F">
      <w:pPr>
        <w:autoSpaceDE w:val="0"/>
        <w:autoSpaceDN w:val="0"/>
        <w:adjustRightInd w:val="0"/>
        <w:spacing w:after="0" w:line="240" w:lineRule="auto"/>
        <w:ind w:firstLine="709"/>
        <w:contextualSpacing/>
        <w:jc w:val="both"/>
        <w:rPr>
          <w:rFonts w:ascii="Times New Roman" w:eastAsia="Times New Roman" w:hAnsi="Times New Roman" w:cs="Times New Roman"/>
          <w:snapToGrid w:val="0"/>
          <w:color w:val="000000" w:themeColor="text1"/>
          <w:sz w:val="24"/>
          <w:szCs w:val="24"/>
          <w:lang w:eastAsia="ru-RU"/>
        </w:rPr>
      </w:pPr>
      <w:r w:rsidRPr="000D5585">
        <w:rPr>
          <w:rFonts w:ascii="Times New Roman" w:eastAsia="Times New Roman" w:hAnsi="Times New Roman" w:cs="Times New Roman"/>
          <w:snapToGrid w:val="0"/>
          <w:color w:val="000000" w:themeColor="text1"/>
          <w:sz w:val="24"/>
          <w:szCs w:val="24"/>
          <w:lang w:eastAsia="ru-RU"/>
        </w:rPr>
        <w:t>Внесение изменений в ранее представленный расчет осуществляется плательщиками страховых взносов путем представления уточенного расчета в порядке, предусмотренном статьей 81 Налогового кодекса Российской Федерации, с учетом следующих положений:</w:t>
      </w:r>
    </w:p>
    <w:p w:rsidR="00316971" w:rsidRPr="00C16316" w:rsidRDefault="00316971" w:rsidP="00CB469F">
      <w:pPr>
        <w:autoSpaceDE w:val="0"/>
        <w:autoSpaceDN w:val="0"/>
        <w:adjustRightInd w:val="0"/>
        <w:spacing w:after="0" w:line="240" w:lineRule="auto"/>
        <w:ind w:firstLine="709"/>
        <w:contextualSpacing/>
        <w:jc w:val="both"/>
        <w:rPr>
          <w:rFonts w:ascii="Times New Roman" w:eastAsia="Times New Roman" w:hAnsi="Times New Roman" w:cs="Times New Roman"/>
          <w:snapToGrid w:val="0"/>
          <w:color w:val="000000" w:themeColor="text1"/>
          <w:sz w:val="20"/>
          <w:szCs w:val="20"/>
          <w:lang w:eastAsia="ru-RU"/>
        </w:rPr>
      </w:pPr>
      <w:proofErr w:type="gramStart"/>
      <w:r w:rsidRPr="00C16316">
        <w:rPr>
          <w:rFonts w:ascii="Times New Roman" w:eastAsia="Times New Roman" w:hAnsi="Times New Roman" w:cs="Times New Roman"/>
          <w:snapToGrid w:val="0"/>
          <w:color w:val="000000" w:themeColor="text1"/>
          <w:sz w:val="20"/>
          <w:szCs w:val="20"/>
          <w:lang w:eastAsia="ru-RU"/>
        </w:rPr>
        <w:t xml:space="preserve">Для уточнения персональных данных, идентифицирующих застрахованных физических лиц, ранее отраженных в разделе 3 </w:t>
      </w:r>
      <w:r w:rsidRPr="00C16316">
        <w:rPr>
          <w:rFonts w:ascii="Times New Roman" w:eastAsia="Calibri" w:hAnsi="Times New Roman" w:cs="Times New Roman"/>
          <w:snapToGrid w:val="0"/>
          <w:color w:val="000000" w:themeColor="text1"/>
          <w:sz w:val="20"/>
          <w:szCs w:val="20"/>
        </w:rPr>
        <w:t xml:space="preserve">«Персонифицированные сведения о застрахованных лицах» расчета, на основании полученного от налогового органа Уведомления </w:t>
      </w:r>
      <w:r w:rsidRPr="00C16316">
        <w:rPr>
          <w:rFonts w:ascii="Times New Roman" w:eastAsia="Times New Roman" w:hAnsi="Times New Roman" w:cs="Times New Roman"/>
          <w:snapToGrid w:val="0"/>
          <w:color w:val="000000" w:themeColor="text1"/>
          <w:sz w:val="20"/>
          <w:szCs w:val="20"/>
          <w:lang w:eastAsia="ru-RU"/>
        </w:rPr>
        <w:t xml:space="preserve">об уточнении налоговой декларации (расчета)/ Уведомления об отказе в приеме налоговой декларации (расчета) и (или) о том, что расчет считается непредставленным (при представлении расчета в электронном виде) либо </w:t>
      </w:r>
      <w:r w:rsidRPr="00C16316">
        <w:rPr>
          <w:rFonts w:ascii="Times New Roman" w:eastAsia="Times New Roman" w:hAnsi="Times New Roman" w:cs="Times New Roman"/>
          <w:bCs/>
          <w:snapToGrid w:val="0"/>
          <w:color w:val="000000" w:themeColor="text1"/>
          <w:sz w:val="20"/>
          <w:szCs w:val="20"/>
          <w:lang w:eastAsia="ru-RU"/>
        </w:rPr>
        <w:t>Уведомления об уточнении налогового документа, представленного</w:t>
      </w:r>
      <w:proofErr w:type="gramEnd"/>
      <w:r w:rsidRPr="00C16316">
        <w:rPr>
          <w:rFonts w:ascii="Times New Roman" w:eastAsia="Times New Roman" w:hAnsi="Times New Roman" w:cs="Times New Roman"/>
          <w:bCs/>
          <w:snapToGrid w:val="0"/>
          <w:color w:val="000000" w:themeColor="text1"/>
          <w:sz w:val="20"/>
          <w:szCs w:val="20"/>
          <w:lang w:eastAsia="ru-RU"/>
        </w:rPr>
        <w:t xml:space="preserve"> на бумажном носителе</w:t>
      </w:r>
      <w:r w:rsidRPr="00C16316">
        <w:rPr>
          <w:rFonts w:ascii="Times New Roman" w:eastAsia="Times New Roman" w:hAnsi="Times New Roman" w:cs="Times New Roman"/>
          <w:snapToGrid w:val="0"/>
          <w:color w:val="000000" w:themeColor="text1"/>
          <w:sz w:val="20"/>
          <w:szCs w:val="20"/>
          <w:lang w:eastAsia="ru-RU"/>
        </w:rPr>
        <w:t xml:space="preserve">/ Уведомления об отказе в приеме налогового документа, представленного на бумажном носителе и (или) о том, что расчет считается непредставленным (при представлении расчета на бумажном носителе), либо на основании полученного от налогового органа </w:t>
      </w:r>
      <w:r w:rsidRPr="00C16316">
        <w:rPr>
          <w:rFonts w:ascii="Times New Roman" w:eastAsia="Calibri" w:hAnsi="Times New Roman" w:cs="Times New Roman"/>
          <w:snapToGrid w:val="0"/>
          <w:color w:val="000000" w:themeColor="text1"/>
          <w:sz w:val="20"/>
          <w:szCs w:val="20"/>
        </w:rPr>
        <w:t>требования о представлении пояснений</w:t>
      </w:r>
      <w:r w:rsidRPr="00C16316">
        <w:rPr>
          <w:rFonts w:ascii="Times New Roman" w:eastAsia="Times New Roman" w:hAnsi="Times New Roman" w:cs="Times New Roman"/>
          <w:snapToGrid w:val="0"/>
          <w:color w:val="000000" w:themeColor="text1"/>
          <w:sz w:val="20"/>
          <w:szCs w:val="20"/>
          <w:lang w:eastAsia="ru-RU"/>
        </w:rPr>
        <w:t>, плательщикам страховых взносов раздел 3 уточненного расчета необходимо заполнять следующим образом:</w:t>
      </w:r>
    </w:p>
    <w:p w:rsidR="00316971" w:rsidRPr="00C16316" w:rsidRDefault="00316971" w:rsidP="00CB469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C16316">
        <w:rPr>
          <w:rFonts w:ascii="Times New Roman" w:eastAsia="Times New Roman" w:hAnsi="Times New Roman" w:cs="Times New Roman"/>
          <w:color w:val="000000" w:themeColor="text1"/>
          <w:sz w:val="20"/>
          <w:szCs w:val="20"/>
          <w:lang w:eastAsia="ru-RU"/>
        </w:rPr>
        <w:t>По каждому застрахованному физическому лицу, по которому выявлены несоответствия, в соответствующих строках подраздела 3.1. расчета указываются персональные данные, отраженные в первоначальном расчете, при этом в строках 190-300 подраздела 3.2. расчета во всех знакоместах указывается «0»;</w:t>
      </w:r>
    </w:p>
    <w:p w:rsidR="00316971" w:rsidRPr="00C16316" w:rsidRDefault="00316971" w:rsidP="00CB469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C16316">
        <w:rPr>
          <w:rFonts w:ascii="Times New Roman" w:eastAsia="Times New Roman" w:hAnsi="Times New Roman" w:cs="Times New Roman"/>
          <w:color w:val="000000" w:themeColor="text1"/>
          <w:sz w:val="20"/>
          <w:szCs w:val="20"/>
          <w:lang w:eastAsia="ru-RU"/>
        </w:rPr>
        <w:t>Одновременно по указанному застрахованному физическому лицу заполняются подраздел 3.1 расчета с указанием корректных (актуальных) персональных данных и строки 190-300 подраздела 3.2. расчета согласно установленному порядку, при необходимости корректировки отдельных показателей подраздела 3.2 расчета - с учетом разъяснений, содержащихся в пункте 2.3 настоящего письма.</w:t>
      </w:r>
    </w:p>
    <w:p w:rsidR="00316971" w:rsidRPr="00C16316" w:rsidRDefault="00316971" w:rsidP="00CB469F">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0"/>
          <w:szCs w:val="20"/>
          <w:lang w:eastAsia="ru-RU"/>
        </w:rPr>
      </w:pPr>
      <w:r w:rsidRPr="00C16316">
        <w:rPr>
          <w:rFonts w:ascii="Times New Roman" w:eastAsia="Times New Roman" w:hAnsi="Times New Roman" w:cs="Times New Roman"/>
          <w:color w:val="000000" w:themeColor="text1"/>
          <w:sz w:val="20"/>
          <w:szCs w:val="20"/>
          <w:lang w:eastAsia="ru-RU"/>
        </w:rPr>
        <w:t>Для корректировки (уточнения) сведений о застрахованных физических лицах, за исключением персональных данных, уточненный расчет заполняется в установленном порядке, с учетом следующего:</w:t>
      </w:r>
    </w:p>
    <w:p w:rsidR="00316971" w:rsidRPr="00C16316" w:rsidRDefault="00316971" w:rsidP="00CB469F">
      <w:pPr>
        <w:autoSpaceDE w:val="0"/>
        <w:autoSpaceDN w:val="0"/>
        <w:adjustRightInd w:val="0"/>
        <w:spacing w:after="0" w:line="240" w:lineRule="auto"/>
        <w:ind w:firstLine="709"/>
        <w:contextualSpacing/>
        <w:jc w:val="both"/>
        <w:rPr>
          <w:rFonts w:ascii="Times New Roman" w:eastAsia="Times New Roman" w:hAnsi="Times New Roman" w:cs="Times New Roman"/>
          <w:snapToGrid w:val="0"/>
          <w:color w:val="000000" w:themeColor="text1"/>
          <w:sz w:val="20"/>
          <w:szCs w:val="20"/>
          <w:lang w:eastAsia="ru-RU"/>
        </w:rPr>
      </w:pPr>
      <w:r w:rsidRPr="00C16316">
        <w:rPr>
          <w:rFonts w:ascii="Times New Roman" w:eastAsia="Times New Roman" w:hAnsi="Times New Roman" w:cs="Times New Roman"/>
          <w:snapToGrid w:val="0"/>
          <w:color w:val="000000" w:themeColor="text1"/>
          <w:sz w:val="20"/>
          <w:szCs w:val="20"/>
          <w:lang w:eastAsia="ru-RU"/>
        </w:rPr>
        <w:t>В случае</w:t>
      </w:r>
      <w:proofErr w:type="gramStart"/>
      <w:r w:rsidRPr="00C16316">
        <w:rPr>
          <w:rFonts w:ascii="Times New Roman" w:eastAsia="Times New Roman" w:hAnsi="Times New Roman" w:cs="Times New Roman"/>
          <w:snapToGrid w:val="0"/>
          <w:color w:val="000000" w:themeColor="text1"/>
          <w:sz w:val="20"/>
          <w:szCs w:val="20"/>
          <w:lang w:eastAsia="ru-RU"/>
        </w:rPr>
        <w:t>,</w:t>
      </w:r>
      <w:proofErr w:type="gramEnd"/>
      <w:r w:rsidRPr="00C16316">
        <w:rPr>
          <w:rFonts w:ascii="Times New Roman" w:eastAsia="Times New Roman" w:hAnsi="Times New Roman" w:cs="Times New Roman"/>
          <w:snapToGrid w:val="0"/>
          <w:color w:val="000000" w:themeColor="text1"/>
          <w:sz w:val="20"/>
          <w:szCs w:val="20"/>
          <w:lang w:eastAsia="ru-RU"/>
        </w:rPr>
        <w:t xml:space="preserve"> если какие-либо застрахованные физические лица не отражены в первоначальном расчете, то в у</w:t>
      </w:r>
      <w:r w:rsidRPr="00C16316">
        <w:rPr>
          <w:rFonts w:ascii="Times New Roman" w:eastAsia="Times New Roman" w:hAnsi="Times New Roman" w:cs="Times New Roman"/>
          <w:color w:val="000000" w:themeColor="text1"/>
          <w:sz w:val="20"/>
          <w:szCs w:val="20"/>
          <w:lang w:eastAsia="ru-RU"/>
        </w:rPr>
        <w:t xml:space="preserve">точненный расчет подлежит включению </w:t>
      </w:r>
      <w:hyperlink r:id="rId27" w:history="1">
        <w:r w:rsidRPr="00C16316">
          <w:rPr>
            <w:rFonts w:ascii="Times New Roman" w:eastAsia="Times New Roman" w:hAnsi="Times New Roman" w:cs="Times New Roman"/>
            <w:color w:val="000000" w:themeColor="text1"/>
            <w:sz w:val="20"/>
            <w:szCs w:val="20"/>
            <w:lang w:eastAsia="ru-RU"/>
          </w:rPr>
          <w:t>раздел 3</w:t>
        </w:r>
      </w:hyperlink>
      <w:r w:rsidRPr="00C16316">
        <w:rPr>
          <w:rFonts w:ascii="Times New Roman" w:eastAsia="Times New Roman" w:hAnsi="Times New Roman" w:cs="Times New Roman"/>
          <w:color w:val="000000" w:themeColor="text1"/>
          <w:sz w:val="20"/>
          <w:szCs w:val="20"/>
          <w:lang w:eastAsia="ru-RU"/>
        </w:rPr>
        <w:t xml:space="preserve">, содержащий сведения в отношении указанных физических лиц, и одновременно производится </w:t>
      </w:r>
      <w:r w:rsidRPr="00C16316">
        <w:rPr>
          <w:rFonts w:ascii="Times New Roman" w:eastAsia="Times New Roman" w:hAnsi="Times New Roman" w:cs="Times New Roman"/>
          <w:snapToGrid w:val="0"/>
          <w:color w:val="000000" w:themeColor="text1"/>
          <w:sz w:val="20"/>
          <w:szCs w:val="20"/>
          <w:lang w:eastAsia="ru-RU"/>
        </w:rPr>
        <w:t>корректировка показателей раздела 1 расчета;</w:t>
      </w:r>
    </w:p>
    <w:p w:rsidR="00316971" w:rsidRPr="00C16316" w:rsidRDefault="00316971" w:rsidP="00CB469F">
      <w:pPr>
        <w:autoSpaceDE w:val="0"/>
        <w:autoSpaceDN w:val="0"/>
        <w:adjustRightInd w:val="0"/>
        <w:spacing w:after="0" w:line="240" w:lineRule="auto"/>
        <w:ind w:firstLine="709"/>
        <w:contextualSpacing/>
        <w:jc w:val="both"/>
        <w:rPr>
          <w:rFonts w:ascii="Times New Roman" w:eastAsia="Times New Roman" w:hAnsi="Times New Roman" w:cs="Times New Roman"/>
          <w:snapToGrid w:val="0"/>
          <w:color w:val="000000" w:themeColor="text1"/>
          <w:sz w:val="20"/>
          <w:szCs w:val="20"/>
          <w:lang w:eastAsia="ru-RU"/>
        </w:rPr>
      </w:pPr>
      <w:r w:rsidRPr="00C16316">
        <w:rPr>
          <w:rFonts w:ascii="Times New Roman" w:eastAsia="Times New Roman" w:hAnsi="Times New Roman" w:cs="Times New Roman"/>
          <w:snapToGrid w:val="0"/>
          <w:color w:val="000000" w:themeColor="text1"/>
          <w:sz w:val="20"/>
          <w:szCs w:val="20"/>
          <w:lang w:eastAsia="ru-RU"/>
        </w:rPr>
        <w:t>В случае ошибочного представления сведений о застрахованных лицах в первоначальном расчете в у</w:t>
      </w:r>
      <w:r w:rsidRPr="00C16316">
        <w:rPr>
          <w:rFonts w:ascii="Times New Roman" w:eastAsia="Times New Roman" w:hAnsi="Times New Roman" w:cs="Times New Roman"/>
          <w:color w:val="000000" w:themeColor="text1"/>
          <w:sz w:val="20"/>
          <w:szCs w:val="20"/>
          <w:lang w:eastAsia="ru-RU"/>
        </w:rPr>
        <w:t xml:space="preserve">точненный расчет подлежит включению </w:t>
      </w:r>
      <w:hyperlink r:id="rId28" w:history="1">
        <w:r w:rsidRPr="00C16316">
          <w:rPr>
            <w:rFonts w:ascii="Times New Roman" w:eastAsia="Times New Roman" w:hAnsi="Times New Roman" w:cs="Times New Roman"/>
            <w:color w:val="000000" w:themeColor="text1"/>
            <w:sz w:val="20"/>
            <w:szCs w:val="20"/>
            <w:lang w:eastAsia="ru-RU"/>
          </w:rPr>
          <w:t>раздел 3</w:t>
        </w:r>
      </w:hyperlink>
      <w:r w:rsidRPr="00C16316">
        <w:rPr>
          <w:rFonts w:ascii="Times New Roman" w:eastAsia="Times New Roman" w:hAnsi="Times New Roman" w:cs="Times New Roman"/>
          <w:color w:val="000000" w:themeColor="text1"/>
          <w:sz w:val="20"/>
          <w:szCs w:val="20"/>
          <w:lang w:eastAsia="ru-RU"/>
        </w:rPr>
        <w:t xml:space="preserve">, содержащий сведения в отношении таких физических лиц,  в котором </w:t>
      </w:r>
      <w:r w:rsidRPr="00C16316">
        <w:rPr>
          <w:rFonts w:ascii="Times New Roman" w:eastAsia="Times New Roman" w:hAnsi="Times New Roman" w:cs="Times New Roman"/>
          <w:snapToGrid w:val="0"/>
          <w:color w:val="000000" w:themeColor="text1"/>
          <w:sz w:val="20"/>
          <w:szCs w:val="20"/>
          <w:lang w:eastAsia="ru-RU"/>
        </w:rPr>
        <w:t xml:space="preserve">в строках 190 - 300 подраздела 3.2. расчета во всех знакоместах указывается «0», </w:t>
      </w:r>
      <w:r w:rsidRPr="00C16316">
        <w:rPr>
          <w:rFonts w:ascii="Times New Roman" w:eastAsia="Times New Roman" w:hAnsi="Times New Roman" w:cs="Times New Roman"/>
          <w:color w:val="000000" w:themeColor="text1"/>
          <w:sz w:val="20"/>
          <w:szCs w:val="20"/>
          <w:lang w:eastAsia="ru-RU"/>
        </w:rPr>
        <w:t xml:space="preserve">и одновременно производится </w:t>
      </w:r>
      <w:r w:rsidRPr="00C16316">
        <w:rPr>
          <w:rFonts w:ascii="Times New Roman" w:eastAsia="Times New Roman" w:hAnsi="Times New Roman" w:cs="Times New Roman"/>
          <w:snapToGrid w:val="0"/>
          <w:color w:val="000000" w:themeColor="text1"/>
          <w:sz w:val="20"/>
          <w:szCs w:val="20"/>
          <w:lang w:eastAsia="ru-RU"/>
        </w:rPr>
        <w:t>корректировка показателей раздела 1 расчета;</w:t>
      </w:r>
    </w:p>
    <w:p w:rsidR="00316971" w:rsidRPr="00C16316" w:rsidRDefault="00316971" w:rsidP="00CB469F">
      <w:pPr>
        <w:autoSpaceDE w:val="0"/>
        <w:autoSpaceDN w:val="0"/>
        <w:adjustRightInd w:val="0"/>
        <w:spacing w:after="0" w:line="240" w:lineRule="auto"/>
        <w:ind w:firstLine="709"/>
        <w:contextualSpacing/>
        <w:jc w:val="both"/>
        <w:rPr>
          <w:rFonts w:ascii="Times New Roman" w:eastAsia="Times New Roman" w:hAnsi="Times New Roman" w:cs="Times New Roman"/>
          <w:snapToGrid w:val="0"/>
          <w:color w:val="000000" w:themeColor="text1"/>
          <w:sz w:val="20"/>
          <w:szCs w:val="20"/>
          <w:lang w:eastAsia="ru-RU"/>
        </w:rPr>
      </w:pPr>
      <w:proofErr w:type="gramStart"/>
      <w:r w:rsidRPr="00C16316">
        <w:rPr>
          <w:rFonts w:ascii="Times New Roman" w:eastAsia="Times New Roman" w:hAnsi="Times New Roman" w:cs="Times New Roman"/>
          <w:snapToGrid w:val="0"/>
          <w:color w:val="000000" w:themeColor="text1"/>
          <w:sz w:val="20"/>
          <w:szCs w:val="20"/>
          <w:lang w:eastAsia="ru-RU"/>
        </w:rPr>
        <w:t>В случае необходимости изменения по отдельным застрахованным лицам показателей, отраженных в подразделе 3.2. расчета, в у</w:t>
      </w:r>
      <w:r w:rsidRPr="00C16316">
        <w:rPr>
          <w:rFonts w:ascii="Times New Roman" w:eastAsia="Times New Roman" w:hAnsi="Times New Roman" w:cs="Times New Roman"/>
          <w:color w:val="000000" w:themeColor="text1"/>
          <w:sz w:val="20"/>
          <w:szCs w:val="20"/>
          <w:lang w:eastAsia="ru-RU"/>
        </w:rPr>
        <w:t xml:space="preserve">точненный расчет подлежит включению </w:t>
      </w:r>
      <w:hyperlink r:id="rId29" w:history="1">
        <w:r w:rsidRPr="00C16316">
          <w:rPr>
            <w:rFonts w:ascii="Times New Roman" w:eastAsia="Times New Roman" w:hAnsi="Times New Roman" w:cs="Times New Roman"/>
            <w:color w:val="000000" w:themeColor="text1"/>
            <w:sz w:val="20"/>
            <w:szCs w:val="20"/>
            <w:lang w:eastAsia="ru-RU"/>
          </w:rPr>
          <w:t>раздел 3</w:t>
        </w:r>
      </w:hyperlink>
      <w:r w:rsidRPr="00C16316">
        <w:rPr>
          <w:rFonts w:ascii="Times New Roman" w:eastAsia="Times New Roman" w:hAnsi="Times New Roman" w:cs="Times New Roman"/>
          <w:color w:val="000000" w:themeColor="text1"/>
          <w:sz w:val="20"/>
          <w:szCs w:val="20"/>
          <w:lang w:eastAsia="ru-RU"/>
        </w:rPr>
        <w:t>, содержащий сведения в отношении таких физических лиц</w:t>
      </w:r>
      <w:r w:rsidRPr="00C16316">
        <w:rPr>
          <w:rFonts w:ascii="Times New Roman" w:eastAsia="Times New Roman" w:hAnsi="Times New Roman" w:cs="Times New Roman"/>
          <w:snapToGrid w:val="0"/>
          <w:color w:val="000000" w:themeColor="text1"/>
          <w:sz w:val="20"/>
          <w:szCs w:val="20"/>
          <w:lang w:eastAsia="ru-RU"/>
        </w:rPr>
        <w:t xml:space="preserve"> с корректными показателями в подразделе 3.2. расчета,</w:t>
      </w:r>
      <w:r w:rsidRPr="00C16316">
        <w:rPr>
          <w:rFonts w:ascii="Times New Roman" w:eastAsia="Times New Roman" w:hAnsi="Times New Roman" w:cs="Times New Roman"/>
          <w:color w:val="000000" w:themeColor="text1"/>
          <w:sz w:val="20"/>
          <w:szCs w:val="20"/>
          <w:lang w:eastAsia="ru-RU"/>
        </w:rPr>
        <w:t xml:space="preserve"> и при необходимости (в случае изменения общей суммы исчисленных страховых взносов) производится </w:t>
      </w:r>
      <w:r w:rsidRPr="00C16316">
        <w:rPr>
          <w:rFonts w:ascii="Times New Roman" w:eastAsia="Times New Roman" w:hAnsi="Times New Roman" w:cs="Times New Roman"/>
          <w:snapToGrid w:val="0"/>
          <w:color w:val="000000" w:themeColor="text1"/>
          <w:sz w:val="20"/>
          <w:szCs w:val="20"/>
          <w:lang w:eastAsia="ru-RU"/>
        </w:rPr>
        <w:t>корректировка показателей раздела 1 расчета.</w:t>
      </w:r>
      <w:proofErr w:type="gramEnd"/>
    </w:p>
    <w:p w:rsidR="005F2ECC" w:rsidRPr="000D5585" w:rsidRDefault="00CB469F" w:rsidP="00CB469F">
      <w:pPr>
        <w:spacing w:line="240" w:lineRule="auto"/>
        <w:contextualSpacing/>
        <w:jc w:val="both"/>
        <w:rPr>
          <w:rFonts w:ascii="Times New Roman" w:hAnsi="Times New Roman" w:cs="Times New Roman"/>
          <w:i/>
          <w:color w:val="000000" w:themeColor="text1"/>
          <w:sz w:val="24"/>
          <w:szCs w:val="24"/>
        </w:rPr>
      </w:pPr>
      <w:r w:rsidRPr="000D5585">
        <w:rPr>
          <w:rFonts w:ascii="Times New Roman" w:hAnsi="Times New Roman" w:cs="Times New Roman"/>
          <w:color w:val="000000" w:themeColor="text1"/>
          <w:sz w:val="24"/>
          <w:szCs w:val="24"/>
        </w:rPr>
        <w:t xml:space="preserve">           </w:t>
      </w:r>
      <w:r w:rsidRPr="000D5585">
        <w:rPr>
          <w:rFonts w:ascii="Times New Roman" w:hAnsi="Times New Roman" w:cs="Times New Roman"/>
          <w:i/>
          <w:color w:val="000000" w:themeColor="text1"/>
          <w:sz w:val="24"/>
          <w:szCs w:val="24"/>
        </w:rPr>
        <w:t xml:space="preserve">Для сведения.  </w:t>
      </w:r>
      <w:proofErr w:type="gramStart"/>
      <w:r w:rsidRPr="000D5585">
        <w:rPr>
          <w:rFonts w:ascii="Times New Roman" w:hAnsi="Times New Roman" w:cs="Times New Roman"/>
          <w:i/>
          <w:color w:val="000000" w:themeColor="text1"/>
          <w:sz w:val="24"/>
          <w:szCs w:val="24"/>
        </w:rPr>
        <w:t>Расчеты по начисленным и уплаченным страховым взносам, а также расчеты по начисленным и уплаченным взносам на дополнительное социальное обеспечение за расчетный период 2016 год и уточненные расчеты за периоды 2010 - 2016 гг. плательщики страховых взносов представляют в территориальные органы ПФР и ФСС России по формам и форматам, действующим в соответствующий расчетный период.</w:t>
      </w:r>
      <w:proofErr w:type="gramEnd"/>
    </w:p>
    <w:p w:rsidR="00A55B8D" w:rsidRPr="000D5585" w:rsidRDefault="00A55B8D" w:rsidP="00CB469F">
      <w:pPr>
        <w:spacing w:line="240" w:lineRule="auto"/>
        <w:contextualSpacing/>
        <w:jc w:val="both"/>
        <w:rPr>
          <w:rFonts w:ascii="Times New Roman" w:hAnsi="Times New Roman" w:cs="Times New Roman"/>
          <w:color w:val="000000" w:themeColor="text1"/>
          <w:sz w:val="24"/>
          <w:szCs w:val="24"/>
        </w:rPr>
      </w:pPr>
      <w:r w:rsidRPr="000D5585">
        <w:rPr>
          <w:rFonts w:ascii="Times New Roman" w:hAnsi="Times New Roman" w:cs="Times New Roman"/>
          <w:color w:val="000000" w:themeColor="text1"/>
          <w:sz w:val="24"/>
          <w:szCs w:val="24"/>
        </w:rPr>
        <w:tab/>
        <w:t>В связи со сменой администратора страховых взносов с 2017 г. поменя</w:t>
      </w:r>
      <w:r w:rsidR="007164FA">
        <w:rPr>
          <w:rFonts w:ascii="Times New Roman" w:hAnsi="Times New Roman" w:cs="Times New Roman"/>
          <w:color w:val="000000" w:themeColor="text1"/>
          <w:sz w:val="24"/>
          <w:szCs w:val="24"/>
        </w:rPr>
        <w:t>лись</w:t>
      </w:r>
      <w:r w:rsidRPr="000D5585">
        <w:rPr>
          <w:rFonts w:ascii="Times New Roman" w:hAnsi="Times New Roman" w:cs="Times New Roman"/>
          <w:color w:val="000000" w:themeColor="text1"/>
          <w:sz w:val="24"/>
          <w:szCs w:val="24"/>
        </w:rPr>
        <w:t xml:space="preserve"> коды бюджетной классификации для перечисления страховых взносов.</w:t>
      </w:r>
    </w:p>
    <w:p w:rsidR="00C13432" w:rsidRPr="000D5585" w:rsidRDefault="00C13432" w:rsidP="00CB469F">
      <w:pPr>
        <w:spacing w:line="240" w:lineRule="auto"/>
        <w:contextualSpacing/>
        <w:jc w:val="both"/>
        <w:rPr>
          <w:rFonts w:ascii="Times New Roman" w:hAnsi="Times New Roman" w:cs="Times New Roman"/>
          <w:color w:val="000000" w:themeColor="text1"/>
          <w:sz w:val="24"/>
          <w:szCs w:val="24"/>
        </w:rPr>
      </w:pPr>
    </w:p>
    <w:p w:rsidR="00C13432" w:rsidRPr="000D5585" w:rsidRDefault="00C13432" w:rsidP="00CB469F">
      <w:pPr>
        <w:spacing w:line="240" w:lineRule="auto"/>
        <w:contextualSpacing/>
        <w:jc w:val="both"/>
        <w:rPr>
          <w:rFonts w:ascii="Times New Roman" w:hAnsi="Times New Roman" w:cs="Times New Roman"/>
          <w:color w:val="000000" w:themeColor="text1"/>
          <w:sz w:val="24"/>
          <w:szCs w:val="24"/>
        </w:rPr>
      </w:pPr>
      <w:r w:rsidRPr="000D5585">
        <w:rPr>
          <w:rFonts w:ascii="Times New Roman" w:hAnsi="Times New Roman" w:cs="Times New Roman"/>
          <w:noProof/>
          <w:color w:val="000000" w:themeColor="text1"/>
          <w:lang w:eastAsia="ru-RU"/>
        </w:rPr>
        <w:lastRenderedPageBreak/>
        <w:drawing>
          <wp:inline distT="0" distB="0" distL="0" distR="0" wp14:anchorId="4C9BF03E" wp14:editId="155C48FA">
            <wp:extent cx="5940425" cy="4633058"/>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0425" cy="4633058"/>
                    </a:xfrm>
                    <a:prstGeom prst="rect">
                      <a:avLst/>
                    </a:prstGeom>
                    <a:noFill/>
                    <a:ln>
                      <a:noFill/>
                    </a:ln>
                  </pic:spPr>
                </pic:pic>
              </a:graphicData>
            </a:graphic>
          </wp:inline>
        </w:drawing>
      </w:r>
    </w:p>
    <w:p w:rsidR="00C13432" w:rsidRPr="000D5585" w:rsidRDefault="00C13432" w:rsidP="00CB469F">
      <w:pPr>
        <w:spacing w:line="240" w:lineRule="auto"/>
        <w:contextualSpacing/>
        <w:jc w:val="both"/>
        <w:rPr>
          <w:rFonts w:ascii="Times New Roman" w:hAnsi="Times New Roman" w:cs="Times New Roman"/>
          <w:color w:val="000000" w:themeColor="text1"/>
          <w:sz w:val="24"/>
          <w:szCs w:val="24"/>
        </w:rPr>
      </w:pPr>
      <w:r w:rsidRPr="000D5585">
        <w:rPr>
          <w:rFonts w:ascii="Times New Roman" w:hAnsi="Times New Roman" w:cs="Times New Roman"/>
          <w:noProof/>
          <w:color w:val="000000" w:themeColor="text1"/>
          <w:lang w:eastAsia="ru-RU"/>
        </w:rPr>
        <w:lastRenderedPageBreak/>
        <w:drawing>
          <wp:inline distT="0" distB="0" distL="0" distR="0" wp14:anchorId="3946B989" wp14:editId="6948A152">
            <wp:extent cx="5940425" cy="4786764"/>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4786764"/>
                    </a:xfrm>
                    <a:prstGeom prst="rect">
                      <a:avLst/>
                    </a:prstGeom>
                    <a:noFill/>
                    <a:ln>
                      <a:noFill/>
                    </a:ln>
                  </pic:spPr>
                </pic:pic>
              </a:graphicData>
            </a:graphic>
          </wp:inline>
        </w:drawing>
      </w:r>
    </w:p>
    <w:sectPr w:rsidR="00C13432" w:rsidRPr="000D5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397"/>
    <w:multiLevelType w:val="multilevel"/>
    <w:tmpl w:val="6BC873BA"/>
    <w:lvl w:ilvl="0">
      <w:start w:val="1"/>
      <w:numFmt w:val="decimal"/>
      <w:lvlText w:val="%1."/>
      <w:lvlJc w:val="left"/>
      <w:pPr>
        <w:tabs>
          <w:tab w:val="num" w:pos="360"/>
        </w:tabs>
        <w:ind w:left="360" w:hanging="360"/>
      </w:p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B523B87"/>
    <w:multiLevelType w:val="multilevel"/>
    <w:tmpl w:val="D8B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C3955"/>
    <w:multiLevelType w:val="multilevel"/>
    <w:tmpl w:val="65B081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8944492"/>
    <w:multiLevelType w:val="multilevel"/>
    <w:tmpl w:val="D58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CC"/>
    <w:rsid w:val="00003DF1"/>
    <w:rsid w:val="000D5585"/>
    <w:rsid w:val="00316971"/>
    <w:rsid w:val="004065C9"/>
    <w:rsid w:val="0051601F"/>
    <w:rsid w:val="005F2ECC"/>
    <w:rsid w:val="006A1015"/>
    <w:rsid w:val="006A2524"/>
    <w:rsid w:val="007164FA"/>
    <w:rsid w:val="00750BC6"/>
    <w:rsid w:val="00A55B8D"/>
    <w:rsid w:val="00A7676E"/>
    <w:rsid w:val="00C13432"/>
    <w:rsid w:val="00C16316"/>
    <w:rsid w:val="00C822E5"/>
    <w:rsid w:val="00CB469F"/>
    <w:rsid w:val="00CF5B2A"/>
    <w:rsid w:val="00D170F1"/>
    <w:rsid w:val="00EF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ECC"/>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16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971"/>
    <w:rPr>
      <w:rFonts w:ascii="Tahoma" w:hAnsi="Tahoma" w:cs="Tahoma"/>
      <w:sz w:val="16"/>
      <w:szCs w:val="16"/>
    </w:rPr>
  </w:style>
  <w:style w:type="paragraph" w:styleId="a5">
    <w:name w:val="List Paragraph"/>
    <w:basedOn w:val="a"/>
    <w:uiPriority w:val="34"/>
    <w:qFormat/>
    <w:rsid w:val="00CB4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ECC"/>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16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971"/>
    <w:rPr>
      <w:rFonts w:ascii="Tahoma" w:hAnsi="Tahoma" w:cs="Tahoma"/>
      <w:sz w:val="16"/>
      <w:szCs w:val="16"/>
    </w:rPr>
  </w:style>
  <w:style w:type="paragraph" w:styleId="a5">
    <w:name w:val="List Paragraph"/>
    <w:basedOn w:val="a"/>
    <w:uiPriority w:val="34"/>
    <w:qFormat/>
    <w:rsid w:val="00CB4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garant.ru/fns/nk/3/" TargetMode="External"/><Relationship Id="rId13" Type="http://schemas.openxmlformats.org/officeDocument/2006/relationships/hyperlink" Target="consultantplus://offline/ref=EC3A2DE796AE96EB57205C40B1E1060A6371C5E7B55ACAEF45787561988894013D5371E75240BEE958H" TargetMode="External"/><Relationship Id="rId18" Type="http://schemas.openxmlformats.org/officeDocument/2006/relationships/hyperlink" Target="consultantplus://offline/ref=F8378D1D7059A401D06FFD20D2799D0C1CDF6C4E17B10D2F31E6DB7F0E8688E8080989FA35FB22PAVEJ" TargetMode="External"/><Relationship Id="rId26" Type="http://schemas.openxmlformats.org/officeDocument/2006/relationships/hyperlink" Target="consultantplus://offline/ref=770F60688F27A85326230D518BC65AD8C38B9630A1BE583EDD8A90176ED88757EDBA5D60D44E9E26z8c3I" TargetMode="External"/><Relationship Id="rId3" Type="http://schemas.openxmlformats.org/officeDocument/2006/relationships/styles" Target="styles.xml"/><Relationship Id="rId21" Type="http://schemas.openxmlformats.org/officeDocument/2006/relationships/hyperlink" Target="consultantplus://offline/ref=9A42D29BD1C6BE90F5E8ECAD5F5D3DAFEDFC4CA145C4D99D264DD9E90DA7AF5DBC9C307C25E33CD4B3XFJ" TargetMode="External"/><Relationship Id="rId7" Type="http://schemas.openxmlformats.org/officeDocument/2006/relationships/hyperlink" Target="consultantplus://offline/ref=770F60688F27A85326230D518BC65AD8C38A943AA2BA583EDD8A90176ED88757EDBA5D60D74D96z2c6I" TargetMode="External"/><Relationship Id="rId12" Type="http://schemas.openxmlformats.org/officeDocument/2006/relationships/hyperlink" Target="consultantplus://offline/ref=EC3A2DE796AE96EB57205C40B1E1060A6371C5E7B55ACAEF45787561988894013D5371E75240BEE95AH" TargetMode="External"/><Relationship Id="rId17" Type="http://schemas.openxmlformats.org/officeDocument/2006/relationships/hyperlink" Target="consultantplus://offline/ref=EC3A2DE796AE96EB57205C40B1E1060A6371C5E7B55ACAEF45787561988894013D5371E75240BEE95BH" TargetMode="External"/><Relationship Id="rId25" Type="http://schemas.openxmlformats.org/officeDocument/2006/relationships/hyperlink" Target="consultantplus://offline/ref=F8378D1D7059A401D06FFD20D2799D0C1CDF6C4E17B10D2F31E6DB7F0E8688E8080989FA35FB26PAV8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C3A2DE796AE96EB57205C40B1E1060A6373C3EABC5ECAEF45787561988894013D5371E75144B69AE151H" TargetMode="External"/><Relationship Id="rId20" Type="http://schemas.openxmlformats.org/officeDocument/2006/relationships/hyperlink" Target="consultantplus://offline/ref=9A42D29BD1C6BE90F5E8ECAD5F5D3DAFEEF54DA846C4D99D264DD9E90DA7AF5DBC9C30B7X5J" TargetMode="External"/><Relationship Id="rId29" Type="http://schemas.openxmlformats.org/officeDocument/2006/relationships/hyperlink" Target="consultantplus://offline/ref=31BF3A027A4C0419297733E75ED88C5084F85CB6702750A80A24C8E412525A25848BC6446A8DA617e8f4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3A2DE796AE96EB57205C40B1E1060A6373C3EABC5ECAEF45787561988894013D5371E75144B69AE150H" TargetMode="External"/><Relationship Id="rId24" Type="http://schemas.openxmlformats.org/officeDocument/2006/relationships/hyperlink" Target="consultantplus://offline/ref=9A42D29BD1C6BE90F5E8ECAD5F5D3DAFEEFB44A440C5D99D264DD9E90DA7AF5DBC9C307C25E33CD4B3XF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C3A2DE796AE96EB57205C40B1E1060A6371C5E7B55ACAEF45787561988894013D5371E75240BEE95EH" TargetMode="External"/><Relationship Id="rId23" Type="http://schemas.openxmlformats.org/officeDocument/2006/relationships/hyperlink" Target="consultantplus://offline/ref=9A42D29BD1C6BE90F5E8ECAD5F5D3DAFEEF545A543C2D99D264DD9E90DA7AF5DBC9C307C25E33CD4B3XFJ" TargetMode="External"/><Relationship Id="rId28" Type="http://schemas.openxmlformats.org/officeDocument/2006/relationships/hyperlink" Target="consultantplus://offline/ref=31BF3A027A4C0419297733E75ED88C5084F85CB6702750A80A24C8E412525A25848BC6446A8DA617e8f4Q" TargetMode="External"/><Relationship Id="rId10" Type="http://schemas.openxmlformats.org/officeDocument/2006/relationships/hyperlink" Target="consultantplus://offline/ref=EC3A2DE796AE96EB57205C40B1E1060A6373C3EABC5ECAEF45787561988894013D5371E75144B69AE151H" TargetMode="External"/><Relationship Id="rId19" Type="http://schemas.openxmlformats.org/officeDocument/2006/relationships/hyperlink" Target="consultantplus://offline/ref=F8378D1D7059A401D06FFD20D2799D0C1CDF6C4E17B10D2F31E6DB7F0E8688E8080989FA35FB22PAV8J" TargetMode="External"/><Relationship Id="rId31"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consultantplus://offline/ref=EC3A2DE796AE96EB57205C40B1E1060A6371C5E7B55ACAEF45787561988894013D5371E75240B6E958H" TargetMode="External"/><Relationship Id="rId14" Type="http://schemas.openxmlformats.org/officeDocument/2006/relationships/hyperlink" Target="consultantplus://offline/ref=EC3A2DE796AE96EB57205C40B1E1060A6371C5E7B55ACAEF45787561988894013D5371E75240BEE959H" TargetMode="External"/><Relationship Id="rId22" Type="http://schemas.openxmlformats.org/officeDocument/2006/relationships/hyperlink" Target="consultantplus://offline/ref=9A42D29BD1C6BE90F5E8ECAD5F5D3DAFEEF54DA942C0D99D264DD9E90DA7AF5DBC9C307C25E33CD4B3XFJ" TargetMode="External"/><Relationship Id="rId27" Type="http://schemas.openxmlformats.org/officeDocument/2006/relationships/hyperlink" Target="consultantplus://offline/ref=31BF3A027A4C0419297733E75ED88C5084F85CB6702750A80A24C8E412525A25848BC6446A8DA617e8f4Q" TargetMode="Externa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A5BC-3FC7-4756-9562-07EB115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Халяпова Василя Гафиятулловна</dc:creator>
  <cp:lastModifiedBy>Халяпова Василя Гафиятулловна</cp:lastModifiedBy>
  <cp:revision>2</cp:revision>
  <dcterms:created xsi:type="dcterms:W3CDTF">2017-09-18T10:57:00Z</dcterms:created>
  <dcterms:modified xsi:type="dcterms:W3CDTF">2017-09-18T10:57:00Z</dcterms:modified>
</cp:coreProperties>
</file>