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F4" w:rsidRDefault="005F14F4" w:rsidP="005F14F4">
      <w:pPr>
        <w:shd w:val="clear" w:color="auto" w:fill="FFFFFF"/>
        <w:tabs>
          <w:tab w:val="left" w:pos="7500"/>
        </w:tabs>
        <w:spacing w:before="120"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0B88" w:rsidRPr="005F14F4" w:rsidRDefault="004C0B88" w:rsidP="005F14F4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b/>
          <w:sz w:val="28"/>
          <w:szCs w:val="28"/>
        </w:rPr>
        <w:t xml:space="preserve">"О создании комиссии по допуску штатного персонала ЕДДС </w:t>
      </w:r>
      <w:r w:rsidR="005F14F4" w:rsidRPr="005F14F4">
        <w:rPr>
          <w:rFonts w:ascii="Times New Roman" w:eastAsia="Times New Roman" w:hAnsi="Times New Roman" w:cs="Times New Roman"/>
          <w:b/>
          <w:sz w:val="28"/>
          <w:szCs w:val="28"/>
        </w:rPr>
        <w:t>Мамадышского муниципального района Республики Татарстан</w:t>
      </w:r>
      <w:r w:rsidRPr="005F14F4">
        <w:rPr>
          <w:rFonts w:ascii="Times New Roman" w:eastAsia="Times New Roman" w:hAnsi="Times New Roman" w:cs="Times New Roman"/>
          <w:b/>
          <w:sz w:val="28"/>
          <w:szCs w:val="28"/>
        </w:rPr>
        <w:t xml:space="preserve"> к самостоятельному несению дежурства"</w:t>
      </w:r>
    </w:p>
    <w:p w:rsidR="004C0B88" w:rsidRPr="005F14F4" w:rsidRDefault="004C0B88" w:rsidP="00787D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21.05.2017 № 304 «О классификации чрезвычайных ситуаций природного и техногенного характера», Национальным стандартом Российской Федерации ГОСТ Р 22.7.01-2021 «Единая дежурно-диспетчерская служба», Положением о «Единой дежурно-диспетчерской службе» </w:t>
      </w:r>
      <w:r w:rsid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утвержденного постановлением </w:t>
      </w:r>
      <w:r w:rsid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Исполнительного комитета </w:t>
      </w:r>
      <w:r w:rsidR="005F14F4"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30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.01.2023 г. № </w:t>
      </w:r>
      <w:r w:rsid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22</w:t>
      </w:r>
      <w:r w:rsidR="00502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787D8E" w:rsidRPr="00787D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787D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Исполнительный комитет Мамадышского муниципального района Республики Татарстан</w:t>
      </w:r>
      <w:r w:rsidR="00787D8E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1.Создать </w:t>
      </w:r>
      <w:r w:rsidR="00502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(по согласованию) 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комиссию по допуску штатного персонала единой дежурно диспетчерской службы (далее ЕДДС) </w:t>
      </w:r>
      <w:r w:rsidR="005F14F4"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самостоятельному несению дежурства.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2.Утвердить состав комиссии по допуску штатного персонала ЕДДС </w:t>
      </w:r>
      <w:r w:rsidR="005F14F4"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самостоятельному несению дежурства (приложение № 1).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3.Утвердить Положение о комиссии по допуску штатного персонала ЕДДС </w:t>
      </w:r>
      <w:r w:rsidR="005F14F4"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самостоятельному несению дежурства, (приложение № 2).</w:t>
      </w:r>
    </w:p>
    <w:p w:rsidR="004C0B88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4.Утвердить форму Акта о допуске штатного персонала ЕДДС к самостоятельному несению дежурства (приложение № 3).</w:t>
      </w:r>
    </w:p>
    <w:p w:rsidR="00787D8E" w:rsidRPr="00787D8E" w:rsidRDefault="00787D8E" w:rsidP="00787D8E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5.</w:t>
      </w:r>
      <w:r w:rsidRPr="00787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D8E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</w:t>
      </w:r>
      <w:r>
        <w:rPr>
          <w:rFonts w:ascii="Times New Roman" w:eastAsia="Times New Roman" w:hAnsi="Times New Roman" w:cs="Times New Roman"/>
          <w:sz w:val="26"/>
          <w:szCs w:val="26"/>
        </w:rPr>
        <w:t>адышского муниципального района.</w:t>
      </w:r>
    </w:p>
    <w:p w:rsidR="004C0B88" w:rsidRDefault="00787D8E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</w:t>
      </w:r>
      <w:bookmarkStart w:id="0" w:name="_GoBack"/>
      <w:bookmarkEnd w:id="0"/>
      <w:r w:rsidR="004C0B88"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.Контроль за исполнением настоящего постановления возложить на </w:t>
      </w:r>
      <w:r w:rsid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заместителя руководителя </w:t>
      </w:r>
      <w:r w:rsidR="00502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сполнительного комитета</w:t>
      </w:r>
      <w:r w:rsidR="00502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Мамадышского муниципального района Республики Татарстан Никифорова Р.М.</w:t>
      </w:r>
    </w:p>
    <w:p w:rsidR="005F14F4" w:rsidRDefault="005F14F4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Pr="005F14F4" w:rsidRDefault="005F14F4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0B88" w:rsidRP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Руководитель                                                                                     Р.М.Гарипов</w:t>
      </w: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064BF" w:rsidRDefault="005064BF" w:rsidP="005F14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FB5524" w:rsidRDefault="00FB5524" w:rsidP="005F14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5F14F4" w:rsidRDefault="004C0B88" w:rsidP="005F14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5064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Приложение № 1 </w:t>
      </w:r>
    </w:p>
    <w:p w:rsidR="005021C2" w:rsidRDefault="005021C2" w:rsidP="005F14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постановлению Исполнительного комитета </w:t>
      </w:r>
    </w:p>
    <w:p w:rsidR="005021C2" w:rsidRPr="005064BF" w:rsidRDefault="005021C2" w:rsidP="005F14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t>Мамадышского муниципального района</w:t>
      </w: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 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№</w:t>
      </w:r>
    </w:p>
    <w:p w:rsidR="005064BF" w:rsidRDefault="005064BF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4BF" w:rsidRDefault="005064BF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B88" w:rsidRPr="005F14F4" w:rsidRDefault="004C0B88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4C0B88" w:rsidRPr="005F14F4" w:rsidRDefault="004C0B88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комиссии по допуску штатного персонала ЕДДС </w:t>
      </w:r>
      <w:r w:rsidR="005F14F4" w:rsidRPr="005F14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Pr="005F14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к самостоятельному несению</w:t>
      </w:r>
    </w:p>
    <w:p w:rsidR="004C0B88" w:rsidRDefault="004C0B88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F14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дежурства</w:t>
      </w:r>
      <w:r w:rsidR="005021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(по согласованию)</w:t>
      </w:r>
    </w:p>
    <w:p w:rsidR="005064BF" w:rsidRDefault="005064BF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064BF" w:rsidRPr="005F14F4" w:rsidRDefault="005064BF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36"/>
        <w:gridCol w:w="6110"/>
      </w:tblGrid>
      <w:tr w:rsidR="004C0B88" w:rsidRPr="005F14F4" w:rsidTr="004C0B88">
        <w:trPr>
          <w:trHeight w:val="370"/>
        </w:trPr>
        <w:tc>
          <w:tcPr>
            <w:tcW w:w="96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4C0B88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4C0B88" w:rsidRPr="005F14F4" w:rsidTr="004C0B88">
        <w:trPr>
          <w:trHeight w:val="362"/>
        </w:trPr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5F14F4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 Руслан Михайлович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4C0B88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5F14F4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руководитель исполнительного комитета </w:t>
            </w: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Мамадышского муниципального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0B88" w:rsidRPr="005F14F4" w:rsidTr="004C0B88">
        <w:trPr>
          <w:trHeight w:val="365"/>
        </w:trPr>
        <w:tc>
          <w:tcPr>
            <w:tcW w:w="96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4C0B88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C0B88" w:rsidRPr="005F14F4" w:rsidTr="004C0B88">
        <w:trPr>
          <w:trHeight w:val="575"/>
        </w:trPr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5F14F4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Тимерханов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Ильмирович</w:t>
            </w:r>
            <w:proofErr w:type="spellEnd"/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4C0B88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6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5F14F4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="00FB5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121 ПСЧ 15 ПСО ФПС ГПС ГУ МЧС России по РТ</w:t>
            </w:r>
          </w:p>
        </w:tc>
      </w:tr>
      <w:tr w:rsidR="004C0B88" w:rsidRPr="005F14F4" w:rsidTr="004C0B88">
        <w:trPr>
          <w:trHeight w:val="285"/>
        </w:trPr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5F14F4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Кашапов Рамзиль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4C0B88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5F14F4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консультант ГО МЧС РТ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Мамадышскому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муниципальному району РТ</w:t>
            </w:r>
          </w:p>
        </w:tc>
      </w:tr>
      <w:tr w:rsidR="004C0B88" w:rsidRPr="005F14F4" w:rsidTr="004C0B88">
        <w:trPr>
          <w:trHeight w:val="574"/>
        </w:trPr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5F14F4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Питина Наталья Михайловна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4C0B88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C0B88" w:rsidRPr="005F14F4" w:rsidRDefault="005F14F4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МКУ «УГЗ ММР» (</w:t>
            </w:r>
            <w:r w:rsidR="004C0B88"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ДС)</w:t>
            </w:r>
          </w:p>
        </w:tc>
      </w:tr>
    </w:tbl>
    <w:p w:rsidR="004C0B88" w:rsidRDefault="004C0B88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textWrapping" w:clear="all"/>
      </w: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14F4" w:rsidRPr="005064BF" w:rsidRDefault="004C0B88" w:rsidP="005F14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5064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Приложение № 2 </w:t>
      </w:r>
    </w:p>
    <w:p w:rsidR="005021C2" w:rsidRDefault="005021C2" w:rsidP="005021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постановлению Исполнительного комитета </w:t>
      </w:r>
    </w:p>
    <w:p w:rsidR="005021C2" w:rsidRPr="005064BF" w:rsidRDefault="005021C2" w:rsidP="005021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t>Мамадышского муниципального района</w:t>
      </w: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 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№</w:t>
      </w:r>
    </w:p>
    <w:p w:rsidR="005064BF" w:rsidRDefault="005064BF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064BF" w:rsidRDefault="005064BF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064BF" w:rsidRDefault="005064BF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064BF" w:rsidRDefault="005064BF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C0B88" w:rsidRPr="005F14F4" w:rsidRDefault="004C0B88" w:rsidP="005F14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</w:p>
    <w:p w:rsidR="004C0B88" w:rsidRDefault="004C0B88" w:rsidP="00810F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F14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комиссии по допуску штатного персонала ЕДЦС </w:t>
      </w:r>
      <w:r w:rsidR="005F14F4" w:rsidRPr="005F14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="005021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5F14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 самостоятельному несению дежурства</w:t>
      </w:r>
    </w:p>
    <w:p w:rsidR="005F14F4" w:rsidRPr="005F14F4" w:rsidRDefault="005F14F4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0B88" w:rsidRPr="005F14F4" w:rsidRDefault="004C0B88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1.Общие положения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1.1.Комиссия по допуску штатного персонала ЕДДС </w:t>
      </w:r>
      <w:r w:rsidR="00810FD5" w:rsidRP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самостоятельному несению дежурства (далее - Комиссия) является коллегиальным и совещательным органом, образованным для оценки профессиональных знаний, практических навыков и определения степени готовности к самостоятельному дежурству персонала ЕДДС, а также для принятия решения о профессиональной пригодности при приеме на работу кандидатов на замещение должностей персонала ЕДДС.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муниципальными правовыми актами </w:t>
      </w:r>
      <w:r w:rsidR="00810FD5" w:rsidRP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регулирующими вопросы деятельности ЕДДС, а также настоящим Положением.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2.Основные задачи Комиссии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2.1.Основными задачами Комиссии является: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2.1.1.Объективная оценка знаний и навыков персонала ЕДДС, несущего оперативное дежурство в составе дежурной смены (проводится не реже 1 раз в год).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2.1.2.Рассмотрение при приеме на работу кандидатур граждан, претендующих на замещение вакантных должностей в ЕДДС, соответствию их профессиональным требованиям, установленным для указанных должностей и выдача соответствующих рекомендаций.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2.1.3.Проверка состояния рабочих мест персонала ЕДДС.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3.Функции Комиссии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3.1.Комиссия, с целью выполнения возложенных на нее задач, осуществляет следующие функции: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3.1.1.Рассматривает в пределах своей компетенции вопросы готовности персонала ЕДДС к несению самостоятельного дежурства и принимает решение о допуске (отдельно каждого работника), в зависимости, от показанных результатов испытаний (собеседования, тестов). Проверка готовности действующего персонала к несению самостоятельного дежурства проводится не реже 1 раза в год с отражением результатов проверки в соответствующем акте о допуске.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3.1.2.Рассматривает, по представлению </w:t>
      </w:r>
      <w:r w:rsid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руководителя МКУ «УГЗ ММР»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порядке профессионального отбора и соответствия установленным квалификационным требованиям кандидатуры граждан, претендующих на замещение должностей в ЕДДС и выдает свои рекомендации.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3.1.3.Осуществляет, по представлению </w:t>
      </w:r>
      <w:r w:rsid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руководителя МКУ «УГЗ ММР»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проверку готовности к несению самостоятельного дежурства работников ЕДДС, и принимает решение об их допуске к дежурству.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3.1.4.Участвует, в случае грубых нарушений правил несения оперативного дежурства работников ЕДДС, в проведении служебной проверки по факту нарушения. На основании результатов служебной проверки, членами комиссии вырабатывается соответствующие предложения и выносятся на обсуждение Комиссии для принятия по ним решения.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4.Права Комиссии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4.1.Комиссия в пределах своей компетенции имеет право: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4.1.1.Запрашивать у </w:t>
      </w:r>
      <w:r w:rsid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руководителя МКУ «УГЗ ММР» 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необходимые сведения и документы, касающиеся деятельности ЕДДС.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4.1.2.Вносить в установленном порядке </w:t>
      </w:r>
      <w:r w:rsid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руководителю исполнительного района </w:t>
      </w:r>
      <w:r w:rsidR="00810FD5" w:rsidRP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предложения по вопросам, входящим в компетенцию Комиссии.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5.Состав Комиссии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5.1.Общее руководство Комиссией осуществляет ее председатель.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5.2.Численность и персональный состав Комиссии утверждается постановлением </w:t>
      </w:r>
      <w:r w:rsid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руководителя исполнительного комитета </w:t>
      </w:r>
      <w:r w:rsidR="00810FD5" w:rsidRP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 Республики Татарстан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6.Организация работы Комиссии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6.1.Решения Комиссии о допуске персонала ЕДДС к самостоятельному несению оперативного дежурства оформляется актами, которые подписываются председателем и всеми членами Комиссии.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6.2.Решения Комиссии, принимаемые в отношении допуска персонала ЕДДС к самостоятельному несению оперативного дежурства, являются документами, обязательными для принятия соответствующего правового решения </w:t>
      </w:r>
      <w:r w:rsidR="00810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руководителя МКУ «УГЗ ММР»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Иные решения Комиссии носят рекомендательный характер.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6.3.Основной оценки профессиональной подготовки персонала ЕДДС является их умение выполнять свои функциональные обязанности, умение грамотно и оперативно действовать самостоятельно в повседневной деятельности, режиме повышенной готовности и режиме чрезвычайной ситуации.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6.4.Профессиональная подготовка персонала ЕДДС может проверятся в ходе занятий в объеме программы подготовки с учетом требований действующего законодательства Российской Федерации и руководящих документов вышестоящих органов управления.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6.5.Действия персонала ЕДДС отражаются в актах работы Комиссии и признаются «отлично», «хорошо», «удовлетворительно» или «неудовлетворительно».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6.6.По результатам оценки теоретических знаний и практических знаний персонала ЕДДС в повседневной деятельности, режиме повышенной готовности и режиме чрезвычайной ситуации персонала ЕДДС допускается к самостоятельному несению дежурства.</w:t>
      </w:r>
    </w:p>
    <w:p w:rsidR="00810FD5" w:rsidRDefault="00810FD5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10FD5" w:rsidRDefault="00810FD5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10FD5" w:rsidRDefault="00810FD5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064BF" w:rsidRDefault="004C0B88" w:rsidP="00810F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064B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Приложение № 3</w:t>
      </w:r>
      <w:r w:rsidRPr="005064B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021C2" w:rsidRDefault="005021C2" w:rsidP="005021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постановлению Исполнительного комитета </w:t>
      </w:r>
    </w:p>
    <w:p w:rsidR="005021C2" w:rsidRPr="005064BF" w:rsidRDefault="005021C2" w:rsidP="005021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t>Мамадышского муниципального района</w:t>
      </w: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 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7213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№</w:t>
      </w:r>
    </w:p>
    <w:p w:rsidR="005021C2" w:rsidRDefault="005021C2" w:rsidP="00810F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B88" w:rsidRPr="005064BF" w:rsidRDefault="004C0B88" w:rsidP="00810F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064BF">
        <w:rPr>
          <w:rFonts w:ascii="Times New Roman" w:eastAsia="Times New Roman" w:hAnsi="Times New Roman" w:cs="Times New Roman"/>
          <w:sz w:val="26"/>
          <w:szCs w:val="26"/>
        </w:rPr>
        <w:t>        </w:t>
      </w:r>
    </w:p>
    <w:p w:rsidR="004C0B88" w:rsidRPr="005F14F4" w:rsidRDefault="006C4955" w:rsidP="005F14F4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="004C0B88"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УТВЕРЖДАЮ</w:t>
      </w:r>
    </w:p>
    <w:p w:rsidR="004C0B88" w:rsidRPr="005F14F4" w:rsidRDefault="006C4955" w:rsidP="005F14F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Руководитель исполнительного комитета Мамадышского муниципального района Республики Татарстан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proofErr w:type="spellStart"/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Р.М.Гарипов</w:t>
      </w:r>
      <w:proofErr w:type="spellEnd"/>
    </w:p>
    <w:p w:rsidR="004C0B88" w:rsidRPr="005F14F4" w:rsidRDefault="004C0B88" w:rsidP="005F14F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«___»________________</w:t>
      </w:r>
      <w:r w:rsidRPr="005F14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202____года</w:t>
      </w:r>
    </w:p>
    <w:p w:rsidR="006C4955" w:rsidRDefault="006C4955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C4955" w:rsidRDefault="006C4955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C0B88" w:rsidRPr="005F14F4" w:rsidRDefault="004C0B88" w:rsidP="006C49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 АКТА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 допуске штатного персонала</w:t>
      </w:r>
    </w:p>
    <w:p w:rsidR="004C0B88" w:rsidRPr="005F14F4" w:rsidRDefault="004C0B88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«Единая дежурно-диспетчерская служба </w:t>
      </w:r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Мамадышского муниципального района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к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самостоятельному несению дежурства в составе оперативной дежурной смены</w:t>
      </w:r>
    </w:p>
    <w:p w:rsidR="004C0B88" w:rsidRPr="005F14F4" w:rsidRDefault="004C0B88" w:rsidP="006C49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Комиссия в составе председателя комиссии</w:t>
      </w:r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заместителя руководителя исполнительного комитета Мамадышского муниципального района Никифорова Р.М.</w:t>
      </w:r>
      <w:r w:rsidRPr="005F14F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членов комиссии: </w:t>
      </w:r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заместителя начальника 121 ПСЧ 15 ПСО ФПС ГПС ГУ МЧС России по РТ лейтенанта внутренней службы </w:t>
      </w:r>
      <w:proofErr w:type="spellStart"/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Тимерханова</w:t>
      </w:r>
      <w:proofErr w:type="spellEnd"/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Р.И., ведущего специалиста ГО МЧС РТ по </w:t>
      </w:r>
      <w:proofErr w:type="spellStart"/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Мамадышскому</w:t>
      </w:r>
      <w:proofErr w:type="spellEnd"/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муниципальному району</w:t>
      </w:r>
      <w:r w:rsidR="0050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Кашапова Р.М.</w:t>
      </w:r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руководителя МКУ «УГЗ ММР»</w:t>
      </w:r>
      <w:r w:rsidR="0050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Питиной Н.М.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 приняла зачеты на допуск к самостоятельному несению дежурства у штатного персонала </w:t>
      </w:r>
      <w:r w:rsidR="006C4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ЕДДС МКУ «УГЗ ММР»</w:t>
      </w: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C0B88" w:rsidRPr="005F14F4" w:rsidRDefault="004C0B88" w:rsidP="005F14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</w:rPr>
        <w:t>В результате приема зачетов комиссия установила: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733"/>
        <w:gridCol w:w="944"/>
        <w:gridCol w:w="1925"/>
        <w:gridCol w:w="1722"/>
        <w:gridCol w:w="1898"/>
        <w:gridCol w:w="1352"/>
        <w:gridCol w:w="1403"/>
      </w:tblGrid>
      <w:tr w:rsidR="005064BF" w:rsidRPr="005F14F4" w:rsidTr="005064BF">
        <w:trPr>
          <w:trHeight w:val="293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оценки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Принятое</w:t>
            </w:r>
          </w:p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5064BF" w:rsidRPr="005F14F4" w:rsidTr="005064BF">
        <w:trPr>
          <w:trHeight w:val="835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</w:p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должностных</w:t>
            </w:r>
          </w:p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обязанностей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</w:t>
            </w:r>
          </w:p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практической</w:t>
            </w:r>
          </w:p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ГЛОНАСС 112</w:t>
            </w: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4BF" w:rsidRPr="005F14F4" w:rsidTr="005064BF">
        <w:trPr>
          <w:trHeight w:val="418"/>
        </w:trPr>
        <w:tc>
          <w:tcPr>
            <w:tcW w:w="13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Дежурные оперативные</w:t>
            </w:r>
          </w:p>
        </w:tc>
      </w:tr>
      <w:tr w:rsidR="005064BF" w:rsidRPr="005F14F4" w:rsidTr="005064BF">
        <w:trPr>
          <w:trHeight w:val="38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</w:t>
            </w:r>
          </w:p>
        </w:tc>
      </w:tr>
      <w:tr w:rsidR="005064BF" w:rsidRPr="005F14F4" w:rsidTr="005064BF">
        <w:trPr>
          <w:trHeight w:val="384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4BF" w:rsidRPr="005F14F4" w:rsidTr="005064BF">
        <w:trPr>
          <w:trHeight w:val="38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4BF" w:rsidRPr="005F14F4" w:rsidTr="005064BF">
        <w:trPr>
          <w:trHeight w:val="38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064BF" w:rsidRPr="005F14F4" w:rsidRDefault="005064BF" w:rsidP="005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4955" w:rsidRDefault="006C4955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C0B88" w:rsidRPr="005F14F4" w:rsidRDefault="004C0B88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Председатель комиссии:</w:t>
      </w:r>
    </w:p>
    <w:p w:rsidR="004C0B88" w:rsidRPr="005F14F4" w:rsidRDefault="006C4955" w:rsidP="006C4955">
      <w:pPr>
        <w:shd w:val="clear" w:color="auto" w:fill="FFFFFF"/>
        <w:tabs>
          <w:tab w:val="left" w:pos="74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Заместитель руководителя ИК ММР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Р.М.Никифоров</w:t>
      </w:r>
    </w:p>
    <w:p w:rsidR="004C0B88" w:rsidRPr="005F14F4" w:rsidRDefault="004C0B88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4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                                          </w:t>
      </w:r>
    </w:p>
    <w:p w:rsidR="004C0B88" w:rsidRDefault="004C0B88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14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Члены комиссии:</w:t>
      </w:r>
    </w:p>
    <w:p w:rsidR="006C4955" w:rsidRDefault="006C4955" w:rsidP="005F14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Начальник 121 ПСЧ ПСО ГПС </w:t>
      </w:r>
    </w:p>
    <w:p w:rsidR="006C4955" w:rsidRDefault="006C4955" w:rsidP="006C4955">
      <w:pPr>
        <w:shd w:val="clear" w:color="auto" w:fill="FFFFFF"/>
        <w:tabs>
          <w:tab w:val="left" w:pos="74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ФПС ГУ МЧС России по РТ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И.Р.Тимерханов</w:t>
      </w:r>
      <w:proofErr w:type="spellEnd"/>
    </w:p>
    <w:p w:rsidR="006C4955" w:rsidRDefault="006C4955" w:rsidP="006C4955">
      <w:pPr>
        <w:shd w:val="clear" w:color="auto" w:fill="FFFFFF"/>
        <w:tabs>
          <w:tab w:val="left" w:pos="74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C4955" w:rsidRDefault="006C4955" w:rsidP="006C4955">
      <w:pPr>
        <w:shd w:val="clear" w:color="auto" w:fill="FFFFFF"/>
        <w:tabs>
          <w:tab w:val="left" w:pos="74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Ведущий консультант ГО МЧС РТ</w:t>
      </w:r>
    </w:p>
    <w:p w:rsidR="006C4955" w:rsidRDefault="006C4955" w:rsidP="006C4955">
      <w:pPr>
        <w:shd w:val="clear" w:color="auto" w:fill="FFFFFF"/>
        <w:tabs>
          <w:tab w:val="left" w:pos="74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Мамадышскому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Р.М.Кашапов</w:t>
      </w:r>
      <w:proofErr w:type="spellEnd"/>
    </w:p>
    <w:p w:rsidR="006C4955" w:rsidRDefault="006C4955" w:rsidP="006C4955">
      <w:pPr>
        <w:shd w:val="clear" w:color="auto" w:fill="FFFFFF"/>
        <w:tabs>
          <w:tab w:val="left" w:pos="74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C4955" w:rsidRPr="005F14F4" w:rsidRDefault="006C4955" w:rsidP="006C4955">
      <w:pPr>
        <w:shd w:val="clear" w:color="auto" w:fill="FFFFFF"/>
        <w:tabs>
          <w:tab w:val="left" w:pos="74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Руководитель МКУ «УГЗ ММР»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Н.М.Питина</w:t>
      </w:r>
    </w:p>
    <w:sectPr w:rsidR="006C4955" w:rsidRPr="005F14F4" w:rsidSect="005F1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8"/>
    <w:rsid w:val="004C0B88"/>
    <w:rsid w:val="005021C2"/>
    <w:rsid w:val="005064BF"/>
    <w:rsid w:val="005F14F4"/>
    <w:rsid w:val="006C4955"/>
    <w:rsid w:val="00787D8E"/>
    <w:rsid w:val="00810FD5"/>
    <w:rsid w:val="00BE756D"/>
    <w:rsid w:val="00CB28B1"/>
    <w:rsid w:val="00D537BC"/>
    <w:rsid w:val="00FB552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0F56"/>
  <w15:docId w15:val="{BC54B0B8-A7C8-4DB1-81E4-C8F212F6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BC"/>
  </w:style>
  <w:style w:type="paragraph" w:styleId="2">
    <w:name w:val="heading 2"/>
    <w:basedOn w:val="a"/>
    <w:link w:val="20"/>
    <w:uiPriority w:val="9"/>
    <w:qFormat/>
    <w:rsid w:val="004C0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B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C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213pt"/>
    <w:basedOn w:val="a0"/>
    <w:rsid w:val="004C0B88"/>
  </w:style>
  <w:style w:type="character" w:customStyle="1" w:styleId="33pt">
    <w:name w:val="33pt"/>
    <w:basedOn w:val="a0"/>
    <w:rsid w:val="004C0B88"/>
  </w:style>
  <w:style w:type="character" w:customStyle="1" w:styleId="21">
    <w:name w:val="2"/>
    <w:basedOn w:val="a0"/>
    <w:rsid w:val="004C0B88"/>
  </w:style>
  <w:style w:type="character" w:customStyle="1" w:styleId="2franklingothicheavy4pt">
    <w:name w:val="2franklingothicheavy4pt"/>
    <w:basedOn w:val="a0"/>
    <w:rsid w:val="004C0B88"/>
  </w:style>
  <w:style w:type="character" w:customStyle="1" w:styleId="295pt">
    <w:name w:val="295pt"/>
    <w:basedOn w:val="a0"/>
    <w:rsid w:val="004C0B88"/>
  </w:style>
  <w:style w:type="character" w:customStyle="1" w:styleId="295pt0">
    <w:name w:val="295pt0"/>
    <w:basedOn w:val="a0"/>
    <w:rsid w:val="004C0B88"/>
  </w:style>
  <w:style w:type="character" w:customStyle="1" w:styleId="295pt1">
    <w:name w:val="295pt1"/>
    <w:basedOn w:val="a0"/>
    <w:rsid w:val="004C0B88"/>
  </w:style>
  <w:style w:type="character" w:customStyle="1" w:styleId="595pt">
    <w:name w:val="595pt"/>
    <w:basedOn w:val="a0"/>
    <w:rsid w:val="004C0B88"/>
  </w:style>
  <w:style w:type="character" w:customStyle="1" w:styleId="595pt0">
    <w:name w:val="595pt0"/>
    <w:basedOn w:val="a0"/>
    <w:rsid w:val="004C0B88"/>
  </w:style>
  <w:style w:type="character" w:customStyle="1" w:styleId="5impact9pt">
    <w:name w:val="5impact9pt"/>
    <w:basedOn w:val="a0"/>
    <w:rsid w:val="004C0B88"/>
  </w:style>
  <w:style w:type="character" w:customStyle="1" w:styleId="a4">
    <w:name w:val="a"/>
    <w:basedOn w:val="a0"/>
    <w:rsid w:val="004C0B88"/>
  </w:style>
  <w:style w:type="character" w:customStyle="1" w:styleId="212pt">
    <w:name w:val="212pt"/>
    <w:basedOn w:val="a0"/>
    <w:rsid w:val="004C0B88"/>
  </w:style>
  <w:style w:type="character" w:customStyle="1" w:styleId="2trebuchetms11pt">
    <w:name w:val="2trebuchetms11pt"/>
    <w:basedOn w:val="a0"/>
    <w:rsid w:val="004C0B88"/>
  </w:style>
  <w:style w:type="character" w:customStyle="1" w:styleId="2franklingothicbook11pt">
    <w:name w:val="2franklingothicbook11pt"/>
    <w:basedOn w:val="a0"/>
    <w:rsid w:val="004C0B88"/>
  </w:style>
  <w:style w:type="paragraph" w:customStyle="1" w:styleId="FORMATTEXT">
    <w:name w:val=".FORMATTEXT"/>
    <w:uiPriority w:val="99"/>
    <w:rsid w:val="00787D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2024-11-28T12:05:00Z</dcterms:created>
  <dcterms:modified xsi:type="dcterms:W3CDTF">2024-11-28T12:05:00Z</dcterms:modified>
</cp:coreProperties>
</file>