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4F401B" w:rsidP="004573CF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Pr="00644583" w:rsidRDefault="004F401B" w:rsidP="004573CF"/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>муниципальн</w:t>
      </w:r>
      <w:r>
        <w:rPr>
          <w:rFonts w:eastAsiaTheme="minorEastAsia"/>
          <w:sz w:val="28"/>
          <w:szCs w:val="28"/>
        </w:rPr>
        <w:t>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</w:t>
      </w:r>
      <w:r w:rsidR="00BD099F">
        <w:rPr>
          <w:rFonts w:eastAsiaTheme="minorEastAsia"/>
          <w:sz w:val="28"/>
          <w:szCs w:val="28"/>
        </w:rPr>
        <w:t>3</w:t>
      </w:r>
      <w:r w:rsidRPr="00764585">
        <w:rPr>
          <w:rFonts w:eastAsiaTheme="minorEastAsia"/>
          <w:sz w:val="28"/>
          <w:szCs w:val="28"/>
        </w:rPr>
        <w:t>-202</w:t>
      </w:r>
      <w:r w:rsidR="00BD099F">
        <w:rPr>
          <w:rFonts w:eastAsiaTheme="minorEastAsia"/>
          <w:sz w:val="28"/>
          <w:szCs w:val="28"/>
        </w:rPr>
        <w:t>5</w:t>
      </w:r>
      <w:r w:rsidRPr="00764585">
        <w:rPr>
          <w:rFonts w:eastAsiaTheme="minorEastAsia"/>
          <w:sz w:val="28"/>
          <w:szCs w:val="28"/>
        </w:rPr>
        <w:t xml:space="preserve">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CC2B1A" w:rsidRPr="00CC2B1A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распоряжением Правительства Российской Федерации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color w:val="000000" w:themeColor="text1"/>
          <w:sz w:val="28"/>
          <w:szCs w:val="28"/>
        </w:rPr>
        <w:t>Исполнительный комитет Мамадышского муниципальн</w:t>
      </w:r>
      <w:r w:rsidR="00B00AF6">
        <w:rPr>
          <w:rFonts w:eastAsiaTheme="minorEastAsia"/>
          <w:color w:val="000000" w:themeColor="text1"/>
          <w:sz w:val="28"/>
          <w:szCs w:val="28"/>
        </w:rPr>
        <w:t>ого района Республики Татарстан</w:t>
      </w:r>
      <w:r w:rsidRPr="00CC2B1A">
        <w:rPr>
          <w:rFonts w:eastAsiaTheme="minorEastAsia"/>
          <w:color w:val="000000" w:themeColor="text1"/>
          <w:sz w:val="28"/>
          <w:szCs w:val="28"/>
        </w:rPr>
        <w:t>, 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</w:t>
      </w:r>
      <w:r w:rsidR="00CC2B1A">
        <w:rPr>
          <w:rFonts w:eastAsiaTheme="minorEastAsia"/>
          <w:sz w:val="28"/>
          <w:szCs w:val="28"/>
        </w:rPr>
        <w:t>435</w:t>
      </w:r>
      <w:r w:rsidR="00540E99">
        <w:rPr>
          <w:rFonts w:eastAsiaTheme="minorEastAsia"/>
          <w:sz w:val="28"/>
          <w:szCs w:val="28"/>
        </w:rPr>
        <w:t xml:space="preserve"> от </w:t>
      </w:r>
      <w:r w:rsidR="00CC2B1A">
        <w:rPr>
          <w:rFonts w:eastAsiaTheme="minorEastAsia"/>
          <w:sz w:val="28"/>
          <w:szCs w:val="28"/>
        </w:rPr>
        <w:t>21</w:t>
      </w:r>
      <w:r w:rsidR="00540E99">
        <w:rPr>
          <w:rFonts w:eastAsiaTheme="minorEastAsia"/>
          <w:sz w:val="28"/>
          <w:szCs w:val="28"/>
        </w:rPr>
        <w:t>.</w:t>
      </w:r>
      <w:r w:rsidR="00CC2B1A">
        <w:rPr>
          <w:rFonts w:eastAsiaTheme="minorEastAsia"/>
          <w:sz w:val="28"/>
          <w:szCs w:val="28"/>
        </w:rPr>
        <w:t>12</w:t>
      </w:r>
      <w:r w:rsidR="00540E99">
        <w:rPr>
          <w:rFonts w:eastAsiaTheme="minorEastAsia"/>
          <w:sz w:val="28"/>
          <w:szCs w:val="28"/>
        </w:rPr>
        <w:t>.202</w:t>
      </w:r>
      <w:r w:rsidR="00CC2B1A">
        <w:rPr>
          <w:rFonts w:eastAsiaTheme="minorEastAsia"/>
          <w:sz w:val="28"/>
          <w:szCs w:val="28"/>
        </w:rPr>
        <w:t>2</w:t>
      </w:r>
      <w:r w:rsidR="00540E99">
        <w:rPr>
          <w:rFonts w:eastAsiaTheme="minorEastAsia"/>
          <w:sz w:val="28"/>
          <w:szCs w:val="28"/>
        </w:rPr>
        <w:t xml:space="preserve"> года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CC2B1A">
        <w:rPr>
          <w:rFonts w:eastAsiaTheme="minorEastAsia"/>
          <w:sz w:val="28"/>
          <w:szCs w:val="28"/>
        </w:rPr>
        <w:t>3</w:t>
      </w:r>
      <w:r w:rsidR="00540E99" w:rsidRPr="00764585">
        <w:rPr>
          <w:rFonts w:eastAsiaTheme="minorEastAsia"/>
          <w:sz w:val="28"/>
          <w:szCs w:val="28"/>
        </w:rPr>
        <w:t>-202</w:t>
      </w:r>
      <w:r w:rsidR="00CC2B1A">
        <w:rPr>
          <w:rFonts w:eastAsiaTheme="minorEastAsia"/>
          <w:sz w:val="28"/>
          <w:szCs w:val="28"/>
        </w:rPr>
        <w:t>5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следующие </w:t>
      </w:r>
      <w:r w:rsidR="00507471">
        <w:rPr>
          <w:rFonts w:eastAsiaTheme="minorEastAsia"/>
          <w:sz w:val="28"/>
          <w:szCs w:val="28"/>
        </w:rPr>
        <w:t>изменения и дополнения</w:t>
      </w:r>
      <w:r w:rsidR="00540E99">
        <w:rPr>
          <w:rFonts w:eastAsiaTheme="minorEastAsia"/>
          <w:sz w:val="28"/>
          <w:szCs w:val="28"/>
        </w:rPr>
        <w:t>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FC7237">
        <w:rPr>
          <w:rFonts w:eastAsiaTheme="minorEastAsia"/>
          <w:sz w:val="28"/>
          <w:szCs w:val="28"/>
        </w:rPr>
        <w:tab/>
        <w:t>1.1. В п</w:t>
      </w:r>
      <w:r w:rsidR="004573CF">
        <w:rPr>
          <w:sz w:val="28"/>
          <w:szCs w:val="28"/>
        </w:rPr>
        <w:t>аспорт</w:t>
      </w:r>
      <w:r w:rsidR="00FC7237">
        <w:rPr>
          <w:sz w:val="28"/>
          <w:szCs w:val="28"/>
        </w:rPr>
        <w:t>е</w:t>
      </w:r>
      <w:r w:rsidR="004573CF">
        <w:rPr>
          <w:sz w:val="28"/>
          <w:szCs w:val="28"/>
        </w:rPr>
        <w:t xml:space="preserve">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 w:rsidR="00507471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в Мамадышском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3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5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>» изложит</w:t>
      </w:r>
      <w:r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 </w:t>
      </w:r>
      <w:r w:rsidR="00767B02">
        <w:rPr>
          <w:sz w:val="28"/>
          <w:szCs w:val="28"/>
        </w:rPr>
        <w:t>(</w:t>
      </w:r>
      <w:r w:rsidR="004573CF">
        <w:rPr>
          <w:sz w:val="28"/>
          <w:szCs w:val="28"/>
        </w:rPr>
        <w:t>Приложение №1</w:t>
      </w:r>
      <w:r w:rsidR="00FC7237">
        <w:rPr>
          <w:sz w:val="28"/>
          <w:szCs w:val="28"/>
        </w:rPr>
        <w:t>);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FC7237">
        <w:rPr>
          <w:rFonts w:eastAsiaTheme="minorEastAsia"/>
          <w:sz w:val="28"/>
          <w:szCs w:val="28"/>
        </w:rPr>
        <w:tab/>
        <w:t>1.2.</w:t>
      </w:r>
      <w:r>
        <w:rPr>
          <w:rFonts w:eastAsiaTheme="minorEastAsia"/>
          <w:sz w:val="28"/>
          <w:szCs w:val="28"/>
        </w:rPr>
        <w:t xml:space="preserve"> </w:t>
      </w:r>
      <w:r w:rsidR="00FC7237">
        <w:rPr>
          <w:rFonts w:eastAsiaTheme="minorEastAsia"/>
          <w:sz w:val="28"/>
          <w:szCs w:val="28"/>
        </w:rPr>
        <w:t>В</w:t>
      </w:r>
      <w:r w:rsidR="009601C5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</w:t>
      </w:r>
      <w:r w:rsidR="00646434">
        <w:rPr>
          <w:sz w:val="28"/>
          <w:szCs w:val="28"/>
        </w:rPr>
        <w:t>3</w:t>
      </w:r>
      <w:r w:rsidR="009601C5" w:rsidRPr="009601C5">
        <w:rPr>
          <w:sz w:val="28"/>
          <w:szCs w:val="28"/>
        </w:rPr>
        <w:t>-202</w:t>
      </w:r>
      <w:r w:rsidR="00646434">
        <w:rPr>
          <w:sz w:val="28"/>
          <w:szCs w:val="28"/>
        </w:rPr>
        <w:t>5</w:t>
      </w:r>
      <w:r w:rsidR="009601C5" w:rsidRPr="009601C5">
        <w:rPr>
          <w:sz w:val="28"/>
          <w:szCs w:val="28"/>
        </w:rPr>
        <w:t xml:space="preserve"> годы</w:t>
      </w:r>
      <w:r w:rsidR="00FC7237">
        <w:rPr>
          <w:sz w:val="28"/>
          <w:szCs w:val="28"/>
        </w:rPr>
        <w:t xml:space="preserve">, </w:t>
      </w:r>
      <w:r w:rsidR="009601C5">
        <w:rPr>
          <w:sz w:val="28"/>
          <w:szCs w:val="28"/>
        </w:rPr>
        <w:t xml:space="preserve">раздел №5 </w:t>
      </w:r>
      <w:r w:rsidR="00E758E1">
        <w:rPr>
          <w:sz w:val="28"/>
          <w:szCs w:val="28"/>
        </w:rPr>
        <w:t>«</w:t>
      </w:r>
      <w:r w:rsidR="009601C5"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</w:t>
      </w:r>
      <w:r w:rsidR="009601C5">
        <w:rPr>
          <w:sz w:val="28"/>
          <w:szCs w:val="28"/>
        </w:rPr>
        <w:t xml:space="preserve">, </w:t>
      </w:r>
      <w:r w:rsidR="0050272E">
        <w:rPr>
          <w:sz w:val="28"/>
          <w:szCs w:val="28"/>
        </w:rPr>
        <w:t>до</w:t>
      </w:r>
      <w:r w:rsidR="00507471">
        <w:rPr>
          <w:sz w:val="28"/>
          <w:szCs w:val="28"/>
        </w:rPr>
        <w:t>полнить</w:t>
      </w:r>
      <w:r w:rsidR="00E758E1">
        <w:rPr>
          <w:sz w:val="28"/>
          <w:szCs w:val="28"/>
        </w:rPr>
        <w:t xml:space="preserve"> </w:t>
      </w:r>
      <w:r w:rsidR="005E3D54">
        <w:rPr>
          <w:sz w:val="28"/>
          <w:szCs w:val="28"/>
        </w:rPr>
        <w:t>подпункт</w:t>
      </w:r>
      <w:r w:rsidR="00507471">
        <w:rPr>
          <w:sz w:val="28"/>
          <w:szCs w:val="28"/>
        </w:rPr>
        <w:t>ом</w:t>
      </w:r>
      <w:r w:rsidR="005E3D54">
        <w:rPr>
          <w:sz w:val="28"/>
          <w:szCs w:val="28"/>
        </w:rPr>
        <w:t xml:space="preserve"> </w:t>
      </w:r>
      <w:r w:rsidR="00540E99">
        <w:rPr>
          <w:sz w:val="28"/>
          <w:szCs w:val="28"/>
        </w:rPr>
        <w:t>5.</w:t>
      </w:r>
      <w:r w:rsidR="0050272E">
        <w:rPr>
          <w:sz w:val="28"/>
          <w:szCs w:val="28"/>
        </w:rPr>
        <w:t>12</w:t>
      </w:r>
      <w:r w:rsidR="00507471">
        <w:rPr>
          <w:sz w:val="28"/>
          <w:szCs w:val="28"/>
        </w:rPr>
        <w:t xml:space="preserve"> (Приложение №2)</w:t>
      </w:r>
      <w:r w:rsidR="00FC7237">
        <w:rPr>
          <w:sz w:val="28"/>
          <w:szCs w:val="28"/>
        </w:rPr>
        <w:t>.</w:t>
      </w:r>
    </w:p>
    <w:p w:rsidR="00EE451E" w:rsidRPr="00EE451E" w:rsidRDefault="00EE451E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</w:t>
      </w:r>
      <w:r w:rsidR="00FC7237">
        <w:rPr>
          <w:sz w:val="28"/>
          <w:szCs w:val="28"/>
        </w:rPr>
        <w:t>телекоммуникационной</w:t>
      </w:r>
      <w:r>
        <w:rPr>
          <w:sz w:val="28"/>
          <w:szCs w:val="28"/>
        </w:rPr>
        <w:t xml:space="preserve"> сети Интернет по веб-адресу: </w:t>
      </w:r>
      <w:r>
        <w:rPr>
          <w:sz w:val="28"/>
          <w:szCs w:val="28"/>
          <w:lang w:val="en-US"/>
        </w:rPr>
        <w:t>http</w:t>
      </w:r>
      <w:r w:rsidRPr="00EE451E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mamadysh</w:t>
      </w:r>
      <w:r w:rsidRPr="00EE45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EE45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E451E">
        <w:rPr>
          <w:sz w:val="28"/>
          <w:szCs w:val="28"/>
        </w:rPr>
        <w:t>/.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Республики Татарстан</w:t>
      </w:r>
      <w:r w:rsidR="004F401B" w:rsidRPr="00764585">
        <w:rPr>
          <w:sz w:val="28"/>
          <w:szCs w:val="28"/>
        </w:rPr>
        <w:t xml:space="preserve"> </w:t>
      </w:r>
      <w:r w:rsidR="00B00AF6">
        <w:rPr>
          <w:sz w:val="28"/>
          <w:szCs w:val="28"/>
        </w:rPr>
        <w:t>Фатыхова Н.Ш</w:t>
      </w:r>
      <w:r w:rsidR="004F401B" w:rsidRPr="00764585">
        <w:rPr>
          <w:sz w:val="28"/>
          <w:szCs w:val="28"/>
        </w:rPr>
        <w:t>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81747C" w:rsidRDefault="0081747C" w:rsidP="00767B02">
      <w:pPr>
        <w:jc w:val="both"/>
        <w:rPr>
          <w:sz w:val="28"/>
          <w:szCs w:val="28"/>
          <w:lang w:val="tt-RU"/>
        </w:rPr>
      </w:pP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CC2B1A">
        <w:rPr>
          <w:sz w:val="28"/>
          <w:szCs w:val="28"/>
        </w:rPr>
        <w:t>О.</w:t>
      </w:r>
      <w:r w:rsidR="00B00AF6">
        <w:rPr>
          <w:sz w:val="28"/>
          <w:szCs w:val="28"/>
        </w:rPr>
        <w:t xml:space="preserve"> </w:t>
      </w:r>
      <w:r w:rsidR="00CC2B1A">
        <w:rPr>
          <w:sz w:val="28"/>
          <w:szCs w:val="28"/>
        </w:rPr>
        <w:t>Н. Павлов</w:t>
      </w:r>
    </w:p>
    <w:p w:rsidR="005E3D54" w:rsidRDefault="005E3D54" w:rsidP="004573CF">
      <w:pPr>
        <w:tabs>
          <w:tab w:val="left" w:pos="8029"/>
        </w:tabs>
      </w:pPr>
    </w:p>
    <w:p w:rsidR="0081747C" w:rsidRDefault="0081747C" w:rsidP="005E3D54">
      <w:pPr>
        <w:tabs>
          <w:tab w:val="left" w:pos="8029"/>
        </w:tabs>
        <w:jc w:val="right"/>
        <w:rPr>
          <w:lang w:val="tt-RU"/>
        </w:rPr>
      </w:pPr>
    </w:p>
    <w:p w:rsidR="0081747C" w:rsidRDefault="0081747C" w:rsidP="005E3D54">
      <w:pPr>
        <w:tabs>
          <w:tab w:val="left" w:pos="8029"/>
        </w:tabs>
        <w:jc w:val="right"/>
        <w:rPr>
          <w:lang w:val="tt-RU"/>
        </w:rPr>
      </w:pPr>
    </w:p>
    <w:p w:rsidR="00ED3E99" w:rsidRDefault="00ED3E99" w:rsidP="005E3D54">
      <w:pPr>
        <w:tabs>
          <w:tab w:val="left" w:pos="8029"/>
        </w:tabs>
        <w:jc w:val="right"/>
        <w:rPr>
          <w:lang w:val="tt-RU"/>
        </w:rPr>
      </w:pPr>
    </w:p>
    <w:p w:rsidR="00ED3E99" w:rsidRDefault="00ED3E99" w:rsidP="005E3D54">
      <w:pPr>
        <w:tabs>
          <w:tab w:val="left" w:pos="8029"/>
        </w:tabs>
        <w:jc w:val="right"/>
        <w:rPr>
          <w:lang w:val="tt-RU"/>
        </w:rPr>
      </w:pPr>
      <w:bookmarkStart w:id="0" w:name="_GoBack"/>
      <w:bookmarkEnd w:id="0"/>
    </w:p>
    <w:p w:rsidR="0081747C" w:rsidRDefault="0081747C" w:rsidP="005E3D54">
      <w:pPr>
        <w:tabs>
          <w:tab w:val="left" w:pos="8029"/>
        </w:tabs>
        <w:jc w:val="right"/>
        <w:rPr>
          <w:lang w:val="tt-RU"/>
        </w:rPr>
      </w:pPr>
    </w:p>
    <w:p w:rsidR="0081747C" w:rsidRDefault="0081747C" w:rsidP="005E3D54">
      <w:pPr>
        <w:tabs>
          <w:tab w:val="left" w:pos="8029"/>
        </w:tabs>
        <w:jc w:val="right"/>
        <w:rPr>
          <w:lang w:val="tt-RU"/>
        </w:rPr>
      </w:pPr>
    </w:p>
    <w:p w:rsidR="00B77F45" w:rsidRDefault="004573CF" w:rsidP="005E3D54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Татарстан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  <w:t>год -   93 695,5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2024 год -   94 800,1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2025 год -   95 724,5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республиканский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г.-  273,2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2024 г.-  298,1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2025 г.-  314,5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4573CF" w:rsidRPr="00646434" w:rsidRDefault="004573CF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202</w:t>
            </w:r>
            <w:r w:rsidR="00646434" w:rsidRPr="00646434">
              <w:rPr>
                <w:sz w:val="28"/>
                <w:szCs w:val="28"/>
              </w:rPr>
              <w:t>3</w:t>
            </w:r>
            <w:r w:rsidRPr="00646434">
              <w:rPr>
                <w:sz w:val="28"/>
                <w:szCs w:val="28"/>
              </w:rPr>
              <w:t xml:space="preserve"> г.-  </w:t>
            </w:r>
            <w:r w:rsidR="00646434" w:rsidRPr="00646434">
              <w:rPr>
                <w:sz w:val="28"/>
                <w:szCs w:val="28"/>
              </w:rPr>
              <w:t>259,76</w:t>
            </w:r>
            <w:r w:rsidRPr="00646434">
              <w:rPr>
                <w:sz w:val="28"/>
                <w:szCs w:val="28"/>
              </w:rPr>
              <w:t xml:space="preserve">   тыс.</w:t>
            </w:r>
            <w:r w:rsidR="00646434"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(спортинвентарь)</w:t>
            </w:r>
          </w:p>
          <w:p w:rsidR="00B00AF6" w:rsidRPr="00646434" w:rsidRDefault="00B00AF6" w:rsidP="00B00AF6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 xml:space="preserve">2023 г.-  </w:t>
            </w:r>
            <w:r>
              <w:rPr>
                <w:sz w:val="28"/>
                <w:szCs w:val="28"/>
              </w:rPr>
              <w:t>3 899,7</w:t>
            </w:r>
            <w:r w:rsidRPr="00646434">
              <w:rPr>
                <w:sz w:val="28"/>
                <w:szCs w:val="28"/>
              </w:rPr>
              <w:t xml:space="preserve">   тыс.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</w:t>
            </w:r>
            <w:r w:rsidR="00643E2A">
              <w:rPr>
                <w:sz w:val="28"/>
                <w:szCs w:val="28"/>
              </w:rPr>
              <w:t>увеличение финансирования</w:t>
            </w:r>
            <w:r w:rsidR="00DA0F0B">
              <w:rPr>
                <w:sz w:val="28"/>
                <w:szCs w:val="28"/>
              </w:rPr>
              <w:t xml:space="preserve"> МБУ «СШ» Олимп»</w:t>
            </w:r>
            <w:r w:rsidR="00643E2A">
              <w:rPr>
                <w:sz w:val="28"/>
                <w:szCs w:val="28"/>
              </w:rPr>
              <w:t xml:space="preserve"> </w:t>
            </w:r>
            <w:r w:rsidR="00DA0F0B">
              <w:rPr>
                <w:sz w:val="28"/>
                <w:szCs w:val="28"/>
              </w:rPr>
              <w:t>(</w:t>
            </w:r>
            <w:r w:rsidR="00643E2A">
              <w:rPr>
                <w:sz w:val="28"/>
                <w:szCs w:val="28"/>
              </w:rPr>
              <w:t>крыт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</w:t>
            </w:r>
            <w:r w:rsidR="002722E9">
              <w:rPr>
                <w:sz w:val="28"/>
                <w:szCs w:val="28"/>
              </w:rPr>
              <w:t>ф</w:t>
            </w:r>
            <w:r w:rsidR="00643E2A">
              <w:rPr>
                <w:sz w:val="28"/>
                <w:szCs w:val="28"/>
              </w:rPr>
              <w:t>утбольн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манеж</w:t>
            </w:r>
            <w:r w:rsidR="00DA0F0B">
              <w:rPr>
                <w:sz w:val="28"/>
                <w:szCs w:val="28"/>
              </w:rPr>
              <w:t>»</w:t>
            </w:r>
            <w:r w:rsidRPr="00646434">
              <w:rPr>
                <w:sz w:val="28"/>
                <w:szCs w:val="28"/>
              </w:rPr>
              <w:t>)</w:t>
            </w:r>
            <w:r w:rsidR="00DA0F0B">
              <w:rPr>
                <w:sz w:val="28"/>
                <w:szCs w:val="28"/>
              </w:rPr>
              <w:t>).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540E99" w:rsidRDefault="00540E99" w:rsidP="00540E99">
      <w:pPr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457231" w:rsidRDefault="00457231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81747C" w:rsidRDefault="0081747C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81747C" w:rsidRPr="0081747C" w:rsidRDefault="0081747C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</w:t>
      </w:r>
      <w:r w:rsidR="00B00AF6">
        <w:rPr>
          <w:sz w:val="28"/>
          <w:szCs w:val="28"/>
        </w:rPr>
        <w:t>Н. Ш. Фатыхов</w:t>
      </w:r>
    </w:p>
    <w:p w:rsidR="00124B18" w:rsidRDefault="00124B18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67B02" w:rsidRDefault="00395013" w:rsidP="008B2C87">
      <w:pPr>
        <w:tabs>
          <w:tab w:val="left" w:pos="8029"/>
        </w:tabs>
        <w:jc w:val="right"/>
      </w:pPr>
      <w:r>
        <w:t xml:space="preserve">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970E69" w:rsidRPr="00970E69" w:rsidTr="00395013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395013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</w:p>
        </w:tc>
        <w:tc>
          <w:tcPr>
            <w:tcW w:w="1306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</w:p>
        </w:tc>
      </w:tr>
      <w:tr w:rsidR="00970E69" w:rsidRPr="00970E69" w:rsidTr="00395013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5027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50272E">
              <w:rPr>
                <w:sz w:val="26"/>
                <w:szCs w:val="26"/>
              </w:rPr>
              <w:t>12</w:t>
            </w:r>
          </w:p>
        </w:tc>
        <w:tc>
          <w:tcPr>
            <w:tcW w:w="6804" w:type="dxa"/>
          </w:tcPr>
          <w:p w:rsidR="00970E69" w:rsidRPr="00970E69" w:rsidRDefault="0050272E" w:rsidP="00FA3B85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</w:t>
            </w:r>
            <w:r>
              <w:rPr>
                <w:sz w:val="26"/>
                <w:szCs w:val="26"/>
              </w:rPr>
              <w:t xml:space="preserve"> бюджету Мамадышского муниципального района</w:t>
            </w:r>
            <w:r w:rsidRPr="00970E69">
              <w:rPr>
                <w:sz w:val="26"/>
                <w:szCs w:val="26"/>
              </w:rPr>
              <w:t xml:space="preserve">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на </w:t>
            </w:r>
            <w:r w:rsidR="00910ACD">
              <w:rPr>
                <w:sz w:val="26"/>
                <w:szCs w:val="26"/>
              </w:rPr>
              <w:t>увеличение объема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</w:t>
            </w:r>
            <w:r w:rsidR="00910ACD">
              <w:rPr>
                <w:sz w:val="26"/>
                <w:szCs w:val="26"/>
              </w:rPr>
              <w:t xml:space="preserve">финансового обеспечения выполнения </w:t>
            </w:r>
            <w:r w:rsidR="00FA3B85">
              <w:rPr>
                <w:sz w:val="26"/>
                <w:szCs w:val="26"/>
              </w:rPr>
              <w:t xml:space="preserve">муниципального задания МБУ «Спортивная школа «Олимп» Мамадышского муниципального района  Республики Татарстан </w:t>
            </w:r>
            <w:r w:rsidR="00910ACD">
              <w:rPr>
                <w:sz w:val="26"/>
                <w:szCs w:val="26"/>
              </w:rPr>
              <w:t>в связи</w:t>
            </w:r>
            <w:r w:rsidR="00FA3B85">
              <w:rPr>
                <w:sz w:val="26"/>
                <w:szCs w:val="26"/>
              </w:rPr>
              <w:t xml:space="preserve"> с закреплением на праве оперативного управления крытого футбольного манежа с </w:t>
            </w:r>
            <w:r w:rsidR="00FC7237">
              <w:rPr>
                <w:sz w:val="26"/>
                <w:szCs w:val="26"/>
              </w:rPr>
              <w:t>каркасно</w:t>
            </w:r>
            <w:r w:rsidR="00FA3B85">
              <w:rPr>
                <w:sz w:val="26"/>
                <w:szCs w:val="26"/>
              </w:rPr>
              <w:t>-тентовым покрытием и административным зданием.</w:t>
            </w:r>
          </w:p>
        </w:tc>
        <w:tc>
          <w:tcPr>
            <w:tcW w:w="1559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Pr="00970E69">
              <w:rPr>
                <w:sz w:val="26"/>
                <w:szCs w:val="26"/>
              </w:rPr>
              <w:t>-202</w:t>
            </w:r>
            <w:r w:rsidR="0027138B">
              <w:rPr>
                <w:sz w:val="26"/>
                <w:szCs w:val="26"/>
              </w:rPr>
              <w:t>5</w:t>
            </w:r>
            <w:r w:rsidR="00C640E6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г.г</w:t>
            </w:r>
            <w:r w:rsidR="00DA0F0B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970E69" w:rsidRPr="00970E69" w:rsidRDefault="0050272E" w:rsidP="006464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3 899,7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5"/>
    <w:rsid w:val="00003061"/>
    <w:rsid w:val="000170C3"/>
    <w:rsid w:val="000468DB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7BFD"/>
    <w:rsid w:val="0025334A"/>
    <w:rsid w:val="00267C89"/>
    <w:rsid w:val="0027138B"/>
    <w:rsid w:val="002722E9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0272E"/>
    <w:rsid w:val="00507471"/>
    <w:rsid w:val="00540540"/>
    <w:rsid w:val="00540E99"/>
    <w:rsid w:val="0055013F"/>
    <w:rsid w:val="00553BE0"/>
    <w:rsid w:val="005979BB"/>
    <w:rsid w:val="005A6739"/>
    <w:rsid w:val="005A7820"/>
    <w:rsid w:val="005C6523"/>
    <w:rsid w:val="005E3D54"/>
    <w:rsid w:val="005F305A"/>
    <w:rsid w:val="00600DC3"/>
    <w:rsid w:val="00643E2A"/>
    <w:rsid w:val="00646434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1747C"/>
    <w:rsid w:val="008214BA"/>
    <w:rsid w:val="00871C66"/>
    <w:rsid w:val="008745DB"/>
    <w:rsid w:val="008B0CF9"/>
    <w:rsid w:val="008B2C87"/>
    <w:rsid w:val="008D1BA3"/>
    <w:rsid w:val="008E6897"/>
    <w:rsid w:val="00910ACD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00AF6"/>
    <w:rsid w:val="00B163B2"/>
    <w:rsid w:val="00B4396E"/>
    <w:rsid w:val="00B77F45"/>
    <w:rsid w:val="00B80BB1"/>
    <w:rsid w:val="00BB21B4"/>
    <w:rsid w:val="00BC2D54"/>
    <w:rsid w:val="00BC4DAD"/>
    <w:rsid w:val="00BD099F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C2B1A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A0F0B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D3E99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3B85"/>
    <w:rsid w:val="00FA6255"/>
    <w:rsid w:val="00FB028D"/>
    <w:rsid w:val="00FB1CAA"/>
    <w:rsid w:val="00FC7237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E66B"/>
  <w15:docId w15:val="{D714CD59-6AA5-460A-90B1-6D08E936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6C93-8C1B-49ED-A824-C85F6C48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4357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10</cp:revision>
  <cp:lastPrinted>2023-02-28T08:17:00Z</cp:lastPrinted>
  <dcterms:created xsi:type="dcterms:W3CDTF">2023-02-28T07:31:00Z</dcterms:created>
  <dcterms:modified xsi:type="dcterms:W3CDTF">2023-08-11T13:27:00Z</dcterms:modified>
</cp:coreProperties>
</file>