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06F92CE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240" w:after="0" w:beforeAutospacing="0" w:afterAutospacing="0"/>
        <w:contextualSpacing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внесении изменений в постановление</w:t>
      </w:r>
    </w:p>
    <w:p>
      <w:pPr>
        <w:spacing w:lineRule="auto" w:line="240" w:after="0" w:beforeAutospacing="0" w:afterAutospacing="0"/>
        <w:contextualSpacing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Исполнительного комитета Мамадышского </w:t>
      </w:r>
    </w:p>
    <w:p>
      <w:pPr>
        <w:spacing w:lineRule="auto" w:line="240" w:after="0" w:beforeAutospacing="0" w:afterAutospacing="0"/>
        <w:contextualSpacing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муниципального района Республики Татарстан</w:t>
      </w:r>
    </w:p>
    <w:p>
      <w:pPr>
        <w:spacing w:lineRule="auto" w:line="240" w:after="0" w:beforeAutospacing="0" w:afterAutospacing="0"/>
        <w:contextualSpacing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№ 165 от 10.06.2019  «Об утверждении новой редакции</w:t>
      </w:r>
    </w:p>
    <w:p>
      <w:pPr>
        <w:spacing w:lineRule="auto" w:line="240" w:after="0" w:beforeAutospacing="0" w:afterAutospacing="0"/>
        <w:contextualSpacing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административного регламента предоставления</w:t>
      </w:r>
    </w:p>
    <w:p>
      <w:pPr>
        <w:spacing w:lineRule="auto" w:line="240" w:after="0" w:beforeAutospacing="0" w:afterAutospacing="0"/>
        <w:contextualSpacing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муниципальной услуги «Постановка на учет и </w:t>
      </w:r>
    </w:p>
    <w:p>
      <w:pPr>
        <w:spacing w:lineRule="auto" w:line="240" w:after="0" w:beforeAutospacing="0" w:afterAutospacing="0"/>
        <w:contextualSpacing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зачисление детей в образовательные организации,</w:t>
      </w:r>
    </w:p>
    <w:p>
      <w:pPr>
        <w:spacing w:lineRule="auto" w:line="240" w:after="0" w:beforeAutospacing="0" w:afterAutospacing="0"/>
        <w:contextualSpacing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реализующие основную общеобразовательную</w:t>
      </w:r>
    </w:p>
    <w:p>
      <w:pPr>
        <w:spacing w:lineRule="auto" w:line="240" w:after="0" w:beforeAutospacing="0" w:afterAutospacing="0"/>
        <w:contextualSpacing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программу дошкольного  образования (детские сады)»</w:t>
      </w:r>
    </w:p>
    <w:p>
      <w:pPr>
        <w:spacing w:lineRule="auto" w:line="240" w:after="0" w:beforeAutospacing="0" w:afterAutospacing="0"/>
        <w:contextualSpacing w:val="1"/>
        <w:rPr>
          <w:rFonts w:ascii="Times New Roman" w:hAnsi="Times New Roman"/>
          <w:sz w:val="28"/>
        </w:rPr>
      </w:pPr>
    </w:p>
    <w:p>
      <w:pPr>
        <w:spacing w:lineRule="auto" w:line="240" w:after="0" w:beforeAutospacing="0" w:afterAutospacing="0"/>
        <w:contextualSpacing w:val="1"/>
        <w:rPr>
          <w:rFonts w:ascii="Times New Roman" w:hAnsi="Times New Roman"/>
          <w:sz w:val="28"/>
        </w:rPr>
      </w:pPr>
    </w:p>
    <w:p>
      <w:pPr>
        <w:spacing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Рассмотрев приказ Министерства образования и науки Республики Татарстан № под- 269/20 от  21.02.2020, руководствуясь законом «Об образовании в Российской Федерации» от 29.12.2012г. № 273-ФЗ, Исполнительный комитет Мамадышского муниципального района Республики Татарстан п о с т а н о в л я е т:</w:t>
      </w:r>
    </w:p>
    <w:p>
      <w:pPr>
        <w:spacing w:lineRule="auto" w:line="240" w:after="0" w:beforeAutospacing="0" w:afterAutospacing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Внести изменения в постановление Исполнительного комитета Мамадышского  муниципального района Республики Татарстан № 165 от 10.06.2019 «Об утверждении новой редакции  административного регламента предоставления муниципальной услуги «Постановка на учет и зачисление детей в образовательные организации, реализующие основную общеобразовательную программу дошкольного  образования (детские сады)», следующие изменения:</w:t>
      </w:r>
    </w:p>
    <w:p>
      <w:pPr>
        <w:spacing w:lineRule="auto" w:line="240" w:after="0" w:beforeAutospacing="0" w:afterAutospacing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из подпункта 10 в пункте 1.2 слова «органах по контролю за оборотом наркотических средств и психотропных веществ» исключить;</w:t>
      </w:r>
    </w:p>
    <w:p>
      <w:pPr>
        <w:spacing w:lineRule="auto" w:line="240" w:after="0" w:beforeAutospacing="0" w:afterAutospacing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в пункте 3.4.2  изложить в следующей редакции «Комплектование Организаций на очередной учебный год осуществляется в соответствии с утвержденным количеством групп и свободных мест в них на очередной учебный год. При наличии свободных мест прием в образовательную Организацию осуществляется в течение всего календарного года.»</w:t>
      </w:r>
    </w:p>
    <w:p>
      <w:pPr>
        <w:spacing w:lineRule="auto" w:line="240" w:after="0" w:beforeAutospacing="0" w:afterAutospacing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 графе 2 пункта 2.9 таблицы раздела II «Стандарт предоставления муниципальной услуги» слова «-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 xml:space="preserve">есоответствие желаемого языка воспитания и обучения в желаемой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рганизации» исключить.</w:t>
      </w:r>
    </w:p>
    <w:p>
      <w:pPr>
        <w:spacing w:lineRule="auto" w:line="240" w:after="0" w:beforeAutospacing="0" w:afterAutospacing="0"/>
        <w:contextualSpacing w:val="1"/>
        <w:jc w:val="both"/>
        <w:rPr>
          <w:rFonts w:ascii="Times New Roman" w:hAnsi="Times New Roman"/>
          <w:sz w:val="28"/>
        </w:rPr>
      </w:pPr>
    </w:p>
    <w:p>
      <w:pPr>
        <w:ind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Опубликовать настоящее постановление на «Официальном портале правовой информации Республики Татарстан» в информационно-коммуникационной сети Интернет и на официальном сайте Мамадышского муниципального района.</w:t>
      </w:r>
    </w:p>
    <w:p>
      <w:pPr>
        <w:ind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Контроль за исполнением настоящего постановления возложить на первого заместителя руководителя Исполнительного комитета Мамадышского муниципального района  Хузязянова М.Р.</w:t>
      </w:r>
    </w:p>
    <w:p>
      <w:pPr>
        <w:ind w:right="-1"/>
        <w:jc w:val="both"/>
        <w:rPr>
          <w:sz w:val="28"/>
        </w:rPr>
      </w:pPr>
      <w:r>
        <w:rPr>
          <w:rFonts w:ascii="Times New Roman" w:hAnsi="Times New Roman"/>
          <w:sz w:val="28"/>
        </w:rPr>
        <w:t xml:space="preserve"> Руководитель                                                        И. М. Дарземанов</w:t>
      </w:r>
    </w:p>
    <w:p>
      <w:pPr>
        <w:rPr>
          <w:rFonts w:ascii="Times New Roman" w:hAnsi="Times New Roman"/>
          <w:sz w:val="24"/>
        </w:rPr>
      </w:pPr>
    </w:p>
    <w:sectPr>
      <w:type w:val="nextPage"/>
      <w:pgSz w:w="11906" w:h="16838" w:code="9"/>
      <w:pgMar w:left="1701" w:right="850" w:top="851" w:bottom="0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6AE823FA"/>
    <w:multiLevelType w:val="hybridMultilevel"/>
    <w:lvl w:ilvl="0" w:tplc="5756F180">
      <w:start w:val="1"/>
      <w:numFmt w:val="decimal"/>
      <w:suff w:val="tab"/>
      <w:lvlText w:val="%1."/>
      <w:lvlJc w:val="left"/>
      <w:pPr>
        <w:ind w:hanging="570" w:left="1245"/>
      </w:pPr>
      <w:rPr/>
    </w:lvl>
    <w:lvl w:ilvl="1" w:tplc="04190019">
      <w:start w:val="1"/>
      <w:numFmt w:val="lowerLetter"/>
      <w:suff w:val="tab"/>
      <w:lvlText w:val="%2."/>
      <w:lvlJc w:val="left"/>
      <w:pPr>
        <w:ind w:hanging="360" w:left="1755"/>
      </w:pPr>
      <w:rPr/>
    </w:lvl>
    <w:lvl w:ilvl="2" w:tplc="0419001B">
      <w:start w:val="1"/>
      <w:numFmt w:val="lowerRoman"/>
      <w:suff w:val="tab"/>
      <w:lvlText w:val="%3."/>
      <w:lvlJc w:val="right"/>
      <w:pPr>
        <w:ind w:hanging="180" w:left="2475"/>
      </w:pPr>
      <w:rPr/>
    </w:lvl>
    <w:lvl w:ilvl="3" w:tplc="0419000F">
      <w:start w:val="1"/>
      <w:numFmt w:val="decimal"/>
      <w:suff w:val="tab"/>
      <w:lvlText w:val="%4."/>
      <w:lvlJc w:val="left"/>
      <w:pPr>
        <w:ind w:hanging="360" w:left="3195"/>
      </w:pPr>
      <w:rPr/>
    </w:lvl>
    <w:lvl w:ilvl="4" w:tplc="04190019">
      <w:start w:val="1"/>
      <w:numFmt w:val="lowerLetter"/>
      <w:suff w:val="tab"/>
      <w:lvlText w:val="%5."/>
      <w:lvlJc w:val="left"/>
      <w:pPr>
        <w:ind w:hanging="360" w:left="3915"/>
      </w:pPr>
      <w:rPr/>
    </w:lvl>
    <w:lvl w:ilvl="5" w:tplc="0419001B">
      <w:start w:val="1"/>
      <w:numFmt w:val="lowerRoman"/>
      <w:suff w:val="tab"/>
      <w:lvlText w:val="%6."/>
      <w:lvlJc w:val="right"/>
      <w:pPr>
        <w:ind w:hanging="180" w:left="4635"/>
      </w:pPr>
      <w:rPr/>
    </w:lvl>
    <w:lvl w:ilvl="6" w:tplc="0419000F">
      <w:start w:val="1"/>
      <w:numFmt w:val="decimal"/>
      <w:suff w:val="tab"/>
      <w:lvlText w:val="%7."/>
      <w:lvlJc w:val="left"/>
      <w:pPr>
        <w:ind w:hanging="360" w:left="5355"/>
      </w:pPr>
      <w:rPr/>
    </w:lvl>
    <w:lvl w:ilvl="7" w:tplc="04190019">
      <w:start w:val="1"/>
      <w:numFmt w:val="lowerLetter"/>
      <w:suff w:val="tab"/>
      <w:lvlText w:val="%8."/>
      <w:lvlJc w:val="left"/>
      <w:pPr>
        <w:ind w:hanging="360" w:left="6075"/>
      </w:pPr>
      <w:rPr/>
    </w:lvl>
    <w:lvl w:ilvl="8" w:tplc="0419001B">
      <w:start w:val="1"/>
      <w:numFmt w:val="lowerRoman"/>
      <w:suff w:val="tab"/>
      <w:lvlText w:val="%9."/>
      <w:lvlJc w:val="right"/>
      <w:pPr>
        <w:ind w:hanging="180" w:left="6795"/>
      </w:pPr>
      <w:rPr/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paragraph" w:styleId="P1">
    <w:name w:val="s_1"/>
    <w:basedOn w:val="P0"/>
    <w:pPr>
      <w:spacing w:lineRule="auto" w:line="240" w:before="100" w:after="100" w:beforeAutospacing="1" w:afterAutospacing="1"/>
    </w:pPr>
    <w:rPr>
      <w:rFonts w:ascii="Times New Roman" w:hAnsi="Times New Roman"/>
      <w:sz w:val="24"/>
    </w:rPr>
  </w:style>
  <w:style w:type="paragraph" w:styleId="P2">
    <w:name w:val="List Paragraph"/>
    <w:basedOn w:val="P0"/>
    <w:qFormat/>
    <w:pPr>
      <w:spacing w:lineRule="auto" w:line="240" w:after="0" w:beforeAutospacing="0" w:afterAutospacing="0"/>
      <w:ind w:left="720"/>
      <w:contextualSpacing w:val="1"/>
    </w:pPr>
    <w:rPr>
      <w:rFonts w:ascii="Times New Roman" w:hAnsi="Times New Roman"/>
      <w:sz w:val="24"/>
    </w:rPr>
  </w:style>
  <w:style w:type="paragraph" w:styleId="P3">
    <w:name w:val="Основной текст4"/>
    <w:basedOn w:val="P0"/>
    <w:link w:val="C3"/>
    <w:pPr>
      <w:widowControl w:val="0"/>
      <w:shd w:val="clear" w:fill="FFFFFF"/>
      <w:spacing w:lineRule="exact" w:line="317" w:after="600" w:beforeAutospacing="0" w:afterAutospacing="0"/>
    </w:pPr>
    <w:rPr>
      <w:rFonts w:ascii="Times New Roman" w:hAnsi="Times New Roman"/>
    </w:rPr>
  </w:style>
  <w:style w:type="paragraph" w:styleId="P4">
    <w:name w:val="Основной текст (2)"/>
    <w:basedOn w:val="P0"/>
    <w:link w:val="C4"/>
    <w:pPr>
      <w:widowControl w:val="0"/>
      <w:shd w:val="clear" w:fill="FFFFFF"/>
      <w:spacing w:lineRule="exact" w:line="274" w:after="0" w:beforeAutospacing="0" w:afterAutospacing="0"/>
      <w:jc w:val="both"/>
    </w:pPr>
    <w:rPr>
      <w:rFonts w:ascii="Times New Roman" w:hAnsi="Times New Roman"/>
      <w:sz w:val="21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Основной текст_"/>
    <w:basedOn w:val="C0"/>
    <w:link w:val="P3"/>
    <w:rPr>
      <w:rFonts w:ascii="Times New Roman" w:hAnsi="Times New Roman"/>
    </w:rPr>
  </w:style>
  <w:style w:type="character" w:styleId="C4">
    <w:name w:val="Основной текст (2)_"/>
    <w:basedOn w:val="C0"/>
    <w:link w:val="P4"/>
    <w:rPr>
      <w:rFonts w:ascii="Times New Roman" w:hAnsi="Times New Roman"/>
      <w:sz w:val="21"/>
    </w:rPr>
  </w:style>
  <w:style w:type="character" w:styleId="C5">
    <w:name w:val="Основной текст (2) + 9 pt;Интервал 0 pt"/>
    <w:basedOn w:val="C4"/>
    <w:rPr>
      <w:b w:val="0"/>
      <w:i w:val="0"/>
      <w:strike w:val="0"/>
      <w:color w:val="000000"/>
      <w:sz w:val="18"/>
      <w:u w:val="none"/>
    </w:rPr>
  </w:style>
  <w:style w:type="character" w:styleId="C6">
    <w:name w:val="Основной текст (2) + Consolas;69 pt;Интервал 0 pt"/>
    <w:basedOn w:val="C4"/>
    <w:rPr>
      <w:rFonts w:ascii="Consolas" w:hAnsi="Consolas"/>
      <w:b w:val="0"/>
      <w:i w:val="0"/>
      <w:strike w:val="0"/>
      <w:color w:val="000000"/>
      <w:sz w:val="138"/>
      <w:u w:val="none"/>
    </w:rPr>
  </w:style>
  <w:style w:type="character" w:styleId="C7">
    <w:name w:val="Основной текст (2) + Consolas;65 pt;Курсив;Интервал 0 pt"/>
    <w:basedOn w:val="C4"/>
    <w:rPr>
      <w:rFonts w:ascii="Consolas" w:hAnsi="Consolas"/>
      <w:b w:val="0"/>
      <w:i w:val="1"/>
      <w:strike w:val="0"/>
      <w:color w:val="000000"/>
      <w:sz w:val="130"/>
      <w:u w:val="none"/>
    </w:rPr>
  </w:style>
  <w:style w:type="character" w:styleId="C8">
    <w:name w:val="Основной текст (2) + 5;5 pt"/>
    <w:basedOn w:val="C4"/>
    <w:rPr>
      <w:b w:val="0"/>
      <w:i w:val="0"/>
      <w:strike w:val="0"/>
      <w:color w:val="000000"/>
      <w:sz w:val="11"/>
      <w:u w:val="none"/>
    </w:rPr>
  </w:style>
  <w:style w:type="character" w:styleId="C9">
    <w:name w:val="Основной текст (2) + Franklin Gothic Heavy;8;5 pt;Интервал 0 pt"/>
    <w:basedOn w:val="C4"/>
    <w:rPr>
      <w:rFonts w:ascii="Franklin Gothic Heavy" w:hAnsi="Franklin Gothic Heavy"/>
      <w:b w:val="0"/>
      <w:i w:val="0"/>
      <w:strike w:val="0"/>
      <w:color w:val="000000"/>
      <w:sz w:val="17"/>
      <w:u w:val="none"/>
    </w:rPr>
  </w:style>
  <w:style w:type="character" w:styleId="C10">
    <w:name w:val="Основной текст (2) + 22 pt;Полужирный;Интервал 0 pt;Масштаб 40%"/>
    <w:basedOn w:val="C4"/>
    <w:rPr>
      <w:b w:val="1"/>
      <w:i w:val="0"/>
      <w:strike w:val="0"/>
      <w:color w:val="000000"/>
      <w:sz w:val="44"/>
      <w:u w:val="non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